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华文中宋" w:eastAsia="仿宋_GB2312"/>
          <w:color w:val="000000"/>
          <w:sz w:val="32"/>
          <w:szCs w:val="32"/>
        </w:rPr>
      </w:pPr>
      <w:r>
        <w:rPr>
          <w:rFonts w:hint="eastAsia" w:ascii="仿宋_GB2312" w:hAnsi="华文中宋" w:eastAsia="仿宋_GB2312"/>
          <w:color w:val="000000"/>
          <w:sz w:val="32"/>
          <w:szCs w:val="32"/>
        </w:rPr>
        <w:t>附：</w:t>
      </w:r>
    </w:p>
    <w:p>
      <w:pPr>
        <w:spacing w:afterLines="50" w:line="580" w:lineRule="exact"/>
        <w:jc w:val="center"/>
        <w:rPr>
          <w:rFonts w:ascii="黑体" w:hAnsi="宋体" w:eastAsia="黑体"/>
          <w:b/>
          <w:color w:val="000000"/>
          <w:sz w:val="32"/>
          <w:szCs w:val="32"/>
        </w:rPr>
      </w:pPr>
      <w:bookmarkStart w:id="0" w:name="_GoBack"/>
      <w:r>
        <w:rPr>
          <w:rFonts w:hint="eastAsia" w:ascii="黑体" w:hAnsi="宋体" w:eastAsia="黑体"/>
          <w:b/>
          <w:color w:val="000000"/>
          <w:sz w:val="32"/>
          <w:szCs w:val="32"/>
        </w:rPr>
        <w:t>面向小康社会的城乡规划研讨会回执表</w:t>
      </w:r>
    </w:p>
    <w:bookmarkEnd w:id="0"/>
    <w:tbl>
      <w:tblPr>
        <w:tblStyle w:val="3"/>
        <w:tblW w:w="100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596"/>
        <w:gridCol w:w="1247"/>
        <w:gridCol w:w="1701"/>
        <w:gridCol w:w="709"/>
        <w:gridCol w:w="360"/>
        <w:gridCol w:w="207"/>
        <w:gridCol w:w="567"/>
        <w:gridCol w:w="65"/>
        <w:gridCol w:w="502"/>
        <w:gridCol w:w="992"/>
        <w:gridCol w:w="851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单位名称</w:t>
            </w:r>
          </w:p>
        </w:tc>
        <w:tc>
          <w:tcPr>
            <w:tcW w:w="4613" w:type="dxa"/>
            <w:gridSpan w:val="5"/>
            <w:vAlign w:val="center"/>
          </w:tcPr>
          <w:p>
            <w:pPr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839" w:type="dxa"/>
            <w:gridSpan w:val="3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邮编</w:t>
            </w:r>
          </w:p>
        </w:tc>
        <w:tc>
          <w:tcPr>
            <w:tcW w:w="3370" w:type="dxa"/>
            <w:gridSpan w:val="4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通讯地址</w:t>
            </w:r>
          </w:p>
        </w:tc>
        <w:tc>
          <w:tcPr>
            <w:tcW w:w="8822" w:type="dxa"/>
            <w:gridSpan w:val="1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联系人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069" w:type="dxa"/>
            <w:gridSpan w:val="2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手机</w:t>
            </w:r>
          </w:p>
        </w:tc>
        <w:tc>
          <w:tcPr>
            <w:tcW w:w="4209" w:type="dxa"/>
            <w:gridSpan w:val="7"/>
          </w:tcPr>
          <w:p>
            <w:pPr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电话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069" w:type="dxa"/>
            <w:gridSpan w:val="2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传真</w:t>
            </w:r>
          </w:p>
        </w:tc>
        <w:tc>
          <w:tcPr>
            <w:tcW w:w="4209" w:type="dxa"/>
            <w:gridSpan w:val="7"/>
          </w:tcPr>
          <w:p>
            <w:pPr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姓名</w:t>
            </w:r>
          </w:p>
        </w:tc>
        <w:tc>
          <w:tcPr>
            <w:tcW w:w="596" w:type="dxa"/>
            <w:vMerge w:val="restart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性别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职务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手机</w:t>
            </w:r>
          </w:p>
        </w:tc>
        <w:tc>
          <w:tcPr>
            <w:tcW w:w="4253" w:type="dxa"/>
            <w:gridSpan w:val="8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房间安排</w:t>
            </w:r>
          </w:p>
        </w:tc>
        <w:tc>
          <w:tcPr>
            <w:tcW w:w="1025" w:type="dxa"/>
            <w:vMerge w:val="restart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96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247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1"/>
              </w:rPr>
              <w:t>锦江之星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1"/>
              </w:rPr>
              <w:t>连锁酒店（同济大学店）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1"/>
              </w:rPr>
              <w:t>锦江之星连锁酒店（国权路店）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1"/>
              </w:rPr>
              <w:t>上海锦江都城白玉兰宾馆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天</w:t>
            </w:r>
          </w:p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益</w:t>
            </w:r>
          </w:p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宾</w:t>
            </w:r>
          </w:p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馆</w:t>
            </w:r>
          </w:p>
        </w:tc>
        <w:tc>
          <w:tcPr>
            <w:tcW w:w="1025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96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247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1"/>
              </w:rPr>
              <w:t>单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标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1"/>
              </w:rPr>
              <w:t>单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标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标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标</w:t>
            </w:r>
          </w:p>
        </w:tc>
        <w:tc>
          <w:tcPr>
            <w:tcW w:w="1025" w:type="dxa"/>
            <w:vMerge w:val="continue"/>
            <w:vAlign w:val="center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96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24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025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96" w:type="dxa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247" w:type="dxa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701" w:type="dxa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709" w:type="dxa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67" w:type="dxa"/>
            <w:gridSpan w:val="2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67" w:type="dxa"/>
            <w:gridSpan w:val="2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992" w:type="dxa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851" w:type="dxa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025" w:type="dxa"/>
          </w:tcPr>
          <w:p>
            <w:pPr>
              <w:ind w:firstLine="480" w:firstLineChars="200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96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24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025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96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24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025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96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24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025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596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24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567" w:type="dxa"/>
            <w:gridSpan w:val="2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  <w:tc>
          <w:tcPr>
            <w:tcW w:w="1025" w:type="dxa"/>
          </w:tcPr>
          <w:p>
            <w:pPr>
              <w:jc w:val="center"/>
              <w:rPr>
                <w:rFonts w:ascii="仿宋_GB2312" w:hAnsi="Cambri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0049" w:type="dxa"/>
            <w:gridSpan w:val="13"/>
          </w:tcPr>
          <w:p>
            <w:pPr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其他要求：入住日期5月号 ，退房日期5月号，标间合住请注明。</w:t>
            </w:r>
          </w:p>
          <w:p>
            <w:pPr>
              <w:ind w:firstLine="1200" w:firstLineChars="500"/>
              <w:rPr>
                <w:rFonts w:ascii="仿宋_GB2312" w:hAnsi="Cambria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mbria" w:eastAsia="仿宋_GB2312"/>
                <w:color w:val="000000"/>
                <w:sz w:val="24"/>
                <w:szCs w:val="21"/>
              </w:rPr>
              <w:t>□住宿不用会议安排，自行解决。</w:t>
            </w:r>
          </w:p>
        </w:tc>
      </w:tr>
    </w:tbl>
    <w:p>
      <w:pPr>
        <w:spacing w:line="440" w:lineRule="exact"/>
        <w:ind w:firstLine="480" w:firstLineChars="200"/>
        <w:rPr>
          <w:rFonts w:ascii="Cambria" w:hAnsi="Cambria" w:eastAsia="仿宋_GB2312"/>
          <w:sz w:val="24"/>
        </w:rPr>
      </w:pPr>
      <w:r>
        <w:rPr>
          <w:rFonts w:hint="eastAsia" w:ascii="Cambria" w:hAnsi="Cambria" w:eastAsia="仿宋_GB2312"/>
          <w:color w:val="000000"/>
          <w:sz w:val="24"/>
        </w:rPr>
        <w:t>注：</w:t>
      </w:r>
    </w:p>
    <w:p>
      <w:pPr>
        <w:ind w:firstLine="480" w:firstLineChars="200"/>
        <w:rPr>
          <w:rFonts w:ascii="仿宋_GB2312" w:hAnsi="Cambria" w:eastAsia="仿宋_GB2312"/>
          <w:sz w:val="24"/>
        </w:rPr>
      </w:pPr>
      <w:r>
        <w:rPr>
          <w:rFonts w:hint="eastAsia" w:ascii="仿宋_GB2312" w:hAnsi="Cambria" w:eastAsia="仿宋_GB2312"/>
          <w:sz w:val="24"/>
        </w:rPr>
        <w:t xml:space="preserve">1、请各参会单位务必将回执于 </w:t>
      </w:r>
      <w:r>
        <w:rPr>
          <w:rFonts w:hint="eastAsia" w:ascii="仿宋_GB2312" w:hAnsi="Cambria" w:eastAsia="仿宋_GB2312"/>
          <w:sz w:val="24"/>
          <w:u w:val="single"/>
        </w:rPr>
        <w:t>2016年 5 月 15 日</w:t>
      </w:r>
      <w:r>
        <w:rPr>
          <w:rFonts w:hint="eastAsia" w:ascii="仿宋_GB2312" w:hAnsi="Cambria" w:eastAsia="仿宋_GB2312"/>
          <w:sz w:val="24"/>
        </w:rPr>
        <w:t xml:space="preserve">前传真或发电子邮件至中国城市规划协会秘书处。传真：010-88082179 电子邮箱：cacp@cacp.org.cn </w:t>
      </w:r>
    </w:p>
    <w:p>
      <w:pPr>
        <w:ind w:firstLine="480" w:firstLineChars="200"/>
        <w:rPr>
          <w:rFonts w:ascii="仿宋_GB2312" w:hAnsi="Cambria" w:eastAsia="仿宋_GB2312"/>
          <w:color w:val="000000"/>
          <w:sz w:val="24"/>
        </w:rPr>
      </w:pPr>
      <w:r>
        <w:rPr>
          <w:rFonts w:hint="eastAsia" w:ascii="仿宋_GB2312" w:hAnsi="Cambria" w:eastAsia="仿宋_GB2312"/>
          <w:color w:val="000000"/>
          <w:sz w:val="24"/>
        </w:rPr>
        <w:t>2、住宿及费用：本次会议根据需要，安排四个宾馆入住。上海锦江都城白玉兰宾馆为会议报到处。因宾馆房间紧张，会议组将根据报名汇款到账信息安排住宿（请注明是否可以合住及入住和退房日期），请尽快预订及汇款。</w:t>
      </w:r>
    </w:p>
    <w:p>
      <w:pPr>
        <w:ind w:firstLine="480" w:firstLineChars="200"/>
        <w:rPr>
          <w:rFonts w:ascii="仿宋_GB2312" w:hAnsi="Cambria" w:eastAsia="仿宋_GB2312"/>
          <w:color w:val="000000"/>
          <w:sz w:val="24"/>
        </w:rPr>
      </w:pPr>
      <w:r>
        <w:rPr>
          <w:rFonts w:ascii="仿宋_GB2312" w:hAnsi="Cambria" w:eastAsia="仿宋_GB2312"/>
          <w:color w:val="000000"/>
          <w:sz w:val="24"/>
        </w:rPr>
        <w:fldChar w:fldCharType="begin"/>
      </w:r>
      <w:r>
        <w:rPr>
          <w:rFonts w:hint="eastAsia" w:ascii="仿宋_GB2312" w:hAnsi="Cambria" w:eastAsia="仿宋_GB2312"/>
          <w:color w:val="000000"/>
          <w:sz w:val="24"/>
        </w:rPr>
        <w:instrText xml:space="preserve">= 1 \* GB3</w:instrText>
      </w:r>
      <w:r>
        <w:rPr>
          <w:rFonts w:ascii="仿宋_GB2312" w:hAnsi="Cambria" w:eastAsia="仿宋_GB2312"/>
          <w:color w:val="000000"/>
          <w:sz w:val="24"/>
        </w:rPr>
        <w:fldChar w:fldCharType="separate"/>
      </w:r>
      <w:r>
        <w:rPr>
          <w:rFonts w:hint="eastAsia" w:ascii="仿宋_GB2312" w:hAnsi="Cambria" w:eastAsia="仿宋_GB2312"/>
          <w:color w:val="000000"/>
          <w:sz w:val="24"/>
        </w:rPr>
        <w:t>①</w:t>
      </w:r>
      <w:r>
        <w:rPr>
          <w:rFonts w:ascii="仿宋_GB2312" w:hAnsi="Cambria" w:eastAsia="仿宋_GB2312"/>
          <w:color w:val="000000"/>
          <w:sz w:val="24"/>
        </w:rPr>
        <w:fldChar w:fldCharType="end"/>
      </w:r>
      <w:r>
        <w:rPr>
          <w:rFonts w:hint="eastAsia" w:ascii="仿宋_GB2312" w:hAnsi="Cambria" w:eastAsia="仿宋_GB2312"/>
          <w:color w:val="000000"/>
          <w:sz w:val="24"/>
        </w:rPr>
        <w:t>锦江都城白玉兰宾馆：标准间价格400 元/天（含早）</w:t>
      </w:r>
    </w:p>
    <w:p>
      <w:pPr>
        <w:ind w:firstLine="480" w:firstLineChars="200"/>
        <w:rPr>
          <w:rFonts w:ascii="仿宋_GB2312" w:hAnsi="Cambria" w:eastAsia="仿宋_GB2312"/>
          <w:color w:val="000000"/>
          <w:sz w:val="24"/>
        </w:rPr>
      </w:pPr>
      <w:r>
        <w:rPr>
          <w:rFonts w:ascii="仿宋_GB2312" w:hAnsi="Cambria" w:eastAsia="仿宋_GB2312"/>
          <w:color w:val="000000"/>
          <w:sz w:val="24"/>
        </w:rPr>
        <w:fldChar w:fldCharType="begin"/>
      </w:r>
      <w:r>
        <w:rPr>
          <w:rFonts w:hint="eastAsia" w:ascii="仿宋_GB2312" w:hAnsi="Cambria" w:eastAsia="仿宋_GB2312"/>
          <w:color w:val="000000"/>
          <w:sz w:val="24"/>
        </w:rPr>
        <w:instrText xml:space="preserve">= 2 \* GB3</w:instrText>
      </w:r>
      <w:r>
        <w:rPr>
          <w:rFonts w:ascii="仿宋_GB2312" w:hAnsi="Cambria" w:eastAsia="仿宋_GB2312"/>
          <w:color w:val="000000"/>
          <w:sz w:val="24"/>
        </w:rPr>
        <w:fldChar w:fldCharType="separate"/>
      </w:r>
      <w:r>
        <w:rPr>
          <w:rFonts w:hint="eastAsia" w:ascii="仿宋_GB2312" w:hAnsi="Cambria" w:eastAsia="仿宋_GB2312"/>
          <w:color w:val="000000"/>
          <w:sz w:val="24"/>
        </w:rPr>
        <w:t>②</w:t>
      </w:r>
      <w:r>
        <w:rPr>
          <w:rFonts w:ascii="仿宋_GB2312" w:hAnsi="Cambria" w:eastAsia="仿宋_GB2312"/>
          <w:color w:val="000000"/>
          <w:sz w:val="24"/>
        </w:rPr>
        <w:fldChar w:fldCharType="end"/>
      </w:r>
      <w:r>
        <w:rPr>
          <w:rFonts w:hint="eastAsia" w:ascii="仿宋_GB2312" w:hAnsi="Cambria" w:eastAsia="仿宋_GB2312"/>
          <w:color w:val="000000"/>
          <w:sz w:val="24"/>
        </w:rPr>
        <w:t>锦江之星连锁酒店（同济大学店）：单间价格260 元/天（含早）；标准间价格300 元/天（含早）</w:t>
      </w:r>
    </w:p>
    <w:p>
      <w:pPr>
        <w:ind w:firstLine="480" w:firstLineChars="200"/>
        <w:rPr>
          <w:rFonts w:ascii="仿宋_GB2312" w:hAnsi="Cambria" w:eastAsia="仿宋_GB2312"/>
          <w:color w:val="000000"/>
          <w:sz w:val="24"/>
        </w:rPr>
      </w:pPr>
      <w:r>
        <w:rPr>
          <w:rFonts w:hint="eastAsia" w:ascii="仿宋_GB2312" w:hAnsi="Cambria" w:eastAsia="仿宋_GB2312"/>
          <w:color w:val="000000"/>
          <w:sz w:val="24"/>
        </w:rPr>
        <w:t>③锦江之星连锁酒店（国权路店）：单间价格300元/天（含早）；标准间价格320 元/天（含早）</w:t>
      </w:r>
    </w:p>
    <w:p>
      <w:pPr>
        <w:ind w:firstLine="480" w:firstLineChars="200"/>
      </w:pPr>
      <w:r>
        <w:rPr>
          <w:rFonts w:ascii="仿宋_GB2312" w:hAnsi="Cambria" w:eastAsia="仿宋_GB2312"/>
          <w:color w:val="000000"/>
          <w:sz w:val="24"/>
        </w:rPr>
        <w:fldChar w:fldCharType="begin"/>
      </w:r>
      <w:r>
        <w:rPr>
          <w:rFonts w:hint="eastAsia" w:ascii="仿宋_GB2312" w:hAnsi="Cambria" w:eastAsia="仿宋_GB2312"/>
          <w:color w:val="000000"/>
          <w:sz w:val="24"/>
        </w:rPr>
        <w:instrText xml:space="preserve">= 4 \* GB3</w:instrText>
      </w:r>
      <w:r>
        <w:rPr>
          <w:rFonts w:ascii="仿宋_GB2312" w:hAnsi="Cambria" w:eastAsia="仿宋_GB2312"/>
          <w:color w:val="000000"/>
          <w:sz w:val="24"/>
        </w:rPr>
        <w:fldChar w:fldCharType="separate"/>
      </w:r>
      <w:r>
        <w:rPr>
          <w:rFonts w:hint="eastAsia" w:ascii="仿宋_GB2312" w:hAnsi="Cambria" w:eastAsia="仿宋_GB2312"/>
          <w:color w:val="000000"/>
          <w:sz w:val="24"/>
        </w:rPr>
        <w:t>④</w:t>
      </w:r>
      <w:r>
        <w:rPr>
          <w:rFonts w:ascii="仿宋_GB2312" w:hAnsi="Cambria" w:eastAsia="仿宋_GB2312"/>
          <w:color w:val="000000"/>
          <w:sz w:val="24"/>
        </w:rPr>
        <w:fldChar w:fldCharType="end"/>
      </w:r>
      <w:r>
        <w:rPr>
          <w:rFonts w:hint="eastAsia" w:ascii="仿宋_GB2312" w:hAnsi="Cambria" w:eastAsia="仿宋_GB2312"/>
          <w:color w:val="000000"/>
          <w:sz w:val="24"/>
        </w:rPr>
        <w:t>天益宾馆：标准间价格320元/天（含早）</w:t>
      </w:r>
    </w:p>
    <w:p>
      <w:pPr/>
    </w:p>
    <w:sectPr>
      <w:pgSz w:w="11906" w:h="16838"/>
      <w:pgMar w:top="113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84E0B"/>
    <w:rsid w:val="0FD84E0B"/>
    <w:rsid w:val="17DF7035"/>
    <w:rsid w:val="354926A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D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2016-05-03T02:34:00Z</dcterms:created>
  <dc:creator>jiajia</dc:creator>
  <cp:lastModifiedBy>jiajia</cp:lastModifiedBy>
  <dcterms:modified xsi:type="dcterms:W3CDTF">2016-05-03T02:36:08Z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