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中华人民共和国国家标准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城市居住区规划设计规范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Code of urban Residential Areas</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Planning &amp; Design</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GB 50180—93</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(2002年版)</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主编部门：中华人民共和国建设部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批准部门：中华人民共和国建设部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施行日期：1994年2月1日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中国建筑工业出版社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工程建设标准局部修订公告</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第31号</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关于国家标准《城市居住区规划设计规范》局部修订的公告</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根据建设部《关于印发&lt;一九九八年工程建设国家标准制订、修订计划(第一批)&gt;的通知》(建标[1998]94号)的要求， 中国城市规划设计研究院会同有关单位对《城市居住区规划设计规范》GB50180-93进行了局部修订。我部组织有关单位对该规范局部修订的条文进行了共同审查，现予批准，自 2002年4月1日起施行。其中，1.0.3、3.0.1、3.0.2、3.0.3、5.0.2(第1款)、5.0.5(第2款)、6.0.1、6.0.3、6.0.5、7.0.1、7.0.2(第3款)、7.0.4(第1款的第5项)、7.0.5 为强制性条文，必须严格执行。该规范经此次修改的条文规定同时废止。 50180-93为强制性国家标准，自一九九四年二月一日起施行。</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中华人民共和国建设部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2002年3月11日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关于发布国家标准《城市居住区规划设计规范》的通知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建标[1993]542号</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根据国家计委计综(1987)250号文的要求，由建设部会同有关部门共同制订的《城市居住区规划设计规范》已经有关部门会审，现批准《城市居住区规划设计规范》GB 50180-93为强制性国家标准，自一九九四年二月一日起施行。</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本标准由建设部负责管理，具体解释等工作由中国城市规划设计研究院负责，出版发行由建设部标准定额研究所负责组织。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中华人民共和国建设部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1993年7月16日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 总则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1.0.1 为确保居民基本的居住生活环境，经济、合理、有效地使用土地 和空间，提高居住区的规划设计质量，制定本规范。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1.0.2本规范适用于城市居住区的规划设计。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1.0.3 居住区按居住户数或人口规模可分为居住区、小区、组团三级。 各级标准控制规模，应符合 表1.0.3 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表1.0.3 居住区分级控制规模</w:t>
      </w:r>
    </w:p>
    <w:tbl>
      <w:tblPr>
        <w:tblW w:w="5520" w:type="dxa"/>
        <w:tblInd w:w="-29" w:type="dxa"/>
        <w:tblCellMar>
          <w:left w:w="0" w:type="dxa"/>
          <w:right w:w="0" w:type="dxa"/>
        </w:tblCellMar>
        <w:tblLook w:val="04A0"/>
      </w:tblPr>
      <w:tblGrid>
        <w:gridCol w:w="1295"/>
        <w:gridCol w:w="1465"/>
        <w:gridCol w:w="1465"/>
        <w:gridCol w:w="1295"/>
      </w:tblGrid>
      <w:tr w:rsidR="00642D4D" w:rsidRPr="00642D4D" w:rsidTr="00642D4D">
        <w:trPr>
          <w:trHeight w:val="180"/>
        </w:trPr>
        <w:tc>
          <w:tcPr>
            <w:tcW w:w="11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13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caps/>
                <w:kern w:val="0"/>
                <w:sz w:val="15"/>
                <w:szCs w:val="15"/>
              </w:rPr>
              <w:t>居住区</w:t>
            </w:r>
          </w:p>
        </w:tc>
        <w:tc>
          <w:tcPr>
            <w:tcW w:w="13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caps/>
                <w:kern w:val="0"/>
                <w:sz w:val="15"/>
                <w:szCs w:val="15"/>
              </w:rPr>
              <w:t>小区</w:t>
            </w:r>
          </w:p>
        </w:tc>
        <w:tc>
          <w:tcPr>
            <w:tcW w:w="11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caps/>
                <w:kern w:val="0"/>
                <w:sz w:val="15"/>
                <w:szCs w:val="15"/>
              </w:rPr>
              <w:t>组团</w:t>
            </w:r>
          </w:p>
        </w:tc>
      </w:tr>
      <w:tr w:rsidR="00642D4D" w:rsidRPr="00642D4D" w:rsidTr="00642D4D">
        <w:trPr>
          <w:trHeight w:val="150"/>
        </w:trPr>
        <w:tc>
          <w:tcPr>
            <w:tcW w:w="11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0" w:lineRule="atLeast"/>
              <w:jc w:val="center"/>
              <w:rPr>
                <w:rFonts w:ascii="宋体" w:eastAsia="宋体" w:hAnsi="宋体" w:cs="宋体"/>
                <w:kern w:val="0"/>
                <w:sz w:val="15"/>
                <w:szCs w:val="15"/>
              </w:rPr>
            </w:pPr>
            <w:r w:rsidRPr="00642D4D">
              <w:rPr>
                <w:rFonts w:ascii="宋体" w:eastAsia="宋体" w:hAnsi="宋体" w:cs="宋体"/>
                <w:kern w:val="0"/>
                <w:sz w:val="15"/>
                <w:szCs w:val="15"/>
              </w:rPr>
              <w:t>户数(户)</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0" w:lineRule="atLeast"/>
              <w:jc w:val="center"/>
              <w:rPr>
                <w:rFonts w:ascii="宋体" w:eastAsia="宋体" w:hAnsi="宋体" w:cs="宋体"/>
                <w:kern w:val="0"/>
                <w:sz w:val="15"/>
                <w:szCs w:val="15"/>
              </w:rPr>
            </w:pPr>
            <w:r w:rsidRPr="00642D4D">
              <w:rPr>
                <w:rFonts w:ascii="宋体" w:eastAsia="宋体" w:hAnsi="宋体" w:cs="宋体"/>
                <w:kern w:val="0"/>
                <w:sz w:val="15"/>
                <w:szCs w:val="15"/>
              </w:rPr>
              <w:t>10000～</w:t>
            </w:r>
            <w:r w:rsidRPr="00642D4D">
              <w:rPr>
                <w:rFonts w:ascii="宋体" w:eastAsia="宋体" w:hAnsi="宋体" w:cs="宋体"/>
                <w:kern w:val="0"/>
                <w:sz w:val="15"/>
                <w:szCs w:val="15"/>
                <w:u w:val="single"/>
              </w:rPr>
              <w:t>16000</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3000～5000</w:t>
            </w:r>
          </w:p>
        </w:tc>
        <w:tc>
          <w:tcPr>
            <w:tcW w:w="11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0" w:lineRule="atLeast"/>
              <w:jc w:val="center"/>
              <w:rPr>
                <w:rFonts w:ascii="宋体" w:eastAsia="宋体" w:hAnsi="宋体" w:cs="宋体"/>
                <w:kern w:val="0"/>
                <w:sz w:val="15"/>
                <w:szCs w:val="15"/>
              </w:rPr>
            </w:pPr>
            <w:r w:rsidRPr="00642D4D">
              <w:rPr>
                <w:rFonts w:ascii="宋体" w:eastAsia="宋体" w:hAnsi="宋体" w:cs="宋体"/>
                <w:kern w:val="0"/>
                <w:sz w:val="15"/>
                <w:szCs w:val="15"/>
              </w:rPr>
              <w:t>300～</w:t>
            </w:r>
            <w:r w:rsidRPr="00642D4D">
              <w:rPr>
                <w:rFonts w:ascii="宋体" w:eastAsia="宋体" w:hAnsi="宋体" w:cs="宋体"/>
                <w:kern w:val="0"/>
                <w:sz w:val="15"/>
                <w:szCs w:val="15"/>
                <w:u w:val="single"/>
              </w:rPr>
              <w:t>1000</w:t>
            </w:r>
          </w:p>
        </w:tc>
      </w:tr>
      <w:tr w:rsidR="00642D4D" w:rsidRPr="00642D4D" w:rsidTr="00642D4D">
        <w:trPr>
          <w:trHeight w:val="225"/>
        </w:trPr>
        <w:tc>
          <w:tcPr>
            <w:tcW w:w="115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人口（人）</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30000～50000</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10000～</w:t>
            </w:r>
            <w:r w:rsidRPr="00642D4D">
              <w:rPr>
                <w:rFonts w:ascii="宋体" w:eastAsia="宋体" w:hAnsi="宋体" w:cs="宋体"/>
                <w:kern w:val="0"/>
                <w:sz w:val="15"/>
                <w:szCs w:val="15"/>
              </w:rPr>
              <w:t>15000</w:t>
            </w:r>
          </w:p>
        </w:tc>
        <w:tc>
          <w:tcPr>
            <w:tcW w:w="11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1000～3000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1.0.3a 居住区的规划布局形式可采用居住区-小区-组团、居住区-组团、小区-组团及独立式组团等多种类型。</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1.0.4居住区的配建设施，必须与居住人口规模相对应。其配建设施的面积总指标，可根据规划布局形式统一安排、灵活使用。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1.0.5居住区的规划设计，应遵循下列基本原则: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1.0.5.1符合城市总体规划的要求;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1.0.5.2 符合统一规划、合理布局、因地制宜、综合开发、配套建设的 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1.0.5.3综合考虑所在城市的性质、社会经济、气候、民族、习俗和传统风貌等地方特点和规划用地周围的环境条件，充分利用规划用地内有保留价值的河湖水域、地形地物、植被、道路、建筑物与构筑物等，并将基纳入规划;</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1.0.5.4适应居民的活动规律，综合考虑日照、采光、通风、防灾、配建设施及管理要求，创造安全、卫生、方便、舒适、和优美的居住生活环境;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1.0.5.5为老年人、残疾人的生活和社会活动提供条件;</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1.0.5.6为工业化生产、机械化施工和建筑群体、空间环境多样化创造条件;</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1.0.5.7为商品化经营、社会化管理及分期实施创造条件;</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1.0.5.8充分考虑社会、经济和环境三方面的综合效益;</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1.0.6 居住区规划设计除执行本规范外，尚应符合国家现行的有关法律、法规和强制性标准的规定。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 术语、代号</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2.0.1城市居住区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一般称居住区，泛指不同居住人口规模的居住生活聚居地和特指被城市干道或自然分界线所</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围合，并与居住人口规模(30000--50000人)相对应，配建有一整套较完善的、能满足该区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居民物质与文化生活所需的公共服务设施的居住生活聚居地。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2.0.2居住小区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一般称小区，是指被城市道路或自然分界线所围合，并与居住人口规模(7080--15000人)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相对应，配建有一套能满足该区居民基本的物质与文化生活所需的公共服务设施的居住生活</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聚居地。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2.0.3居住组团</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一般称组团，指般被小河道路分隔，并与居住人口规模(10000--3000人)相对应，配建有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居民所需的基层公共服务设施的居住生活聚居地。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2.0.4居住区用地(R)</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住宅用地、公建用地、道路用地和公共绿地等四项用地的总称。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2.0.5住宅用地(R01)</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住宅建筑基底占地及其四周合理间距内的用地(含宅间绿地和宅间小路等)的总称。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2.0.6 公共服务设施用地(R02)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一般称公建用地，是与居住人口规模相对应配建的、为居民服务和使用的各类设施的用地，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应包括建筑基底占地及其所属场院、绿地和配建停车场等。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2.0.7道路用地(R03)</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居住区道路、小区路、组团路及非公建配建的居民汽车地面停放场地。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2.0.8居住区(级)道路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一般用以划分小区的道路。在大城市中通常与城市支路同级。</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2.0.9小区(级)路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一般用以划分组团的道路。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2.0.10 组团(级)路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上接小区路、下连宅间小路的道路。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2.0.11宅间小路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住宅建筑之间连接各住宅入口的道路。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2.0.12公共绿地(R04)</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满足规定的日照要求、适合于安排游憩活动设施的、供居民共享的集中绿地，应包括居住区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公园、小游园和组团绿地及其它块状带状绿地等。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2.0.13配建设施</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与人口规模或与住宅规模相对应配套建设的公共服务设施、道路和公共绿地的总称。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2.0.14其它用地(E)</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规划范围内除居住区用地以外的各种用地，应包括非直接为本区居民配建的道路用地、其它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单位用地、保留的自然村或不可建设用地等。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2.0.15公共活动中心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配套公建相对集中的居住区中心、小区中心和组团中心等。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2.0.16道路红线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城市道路(含居住区级道路)用地的规划控制线。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2.0.17建筑线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一般称建筑控制线，是建筑物基底位置的控制线。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2.0.18日照间距系数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根据日照标准确定的房屋间距与遮挡房屋檐高的比值。</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2.0.19建筑小品</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既有功能要求，又具有点缀、装饰和美化作用的、从属于某一建筑空间环境的小体量建筑、</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游憩观赏设施和指示性标志物等的统称。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2.0.20住宅平均层数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住宅总建筑面积与住宅基底总面积的比值(层)。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2.0.21 高层住宅(大于等于10层)比例</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高层住宅总建筑面积与住宅总建筑面积的比率(%)。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2.0.22中高层住宅(7~9层)比例</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中高层住宅总建筑面积与住宅总建筑面积的比率(%)。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2.0.23人口毛密度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每公顷居住区用地上容纳的规划人口数量(人/hm2)。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2.0.24人口净密度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每公顷住宅用地上容纳的规划人口数量(人/hm2)。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2.0.25 住宅建筑套密度(毛)</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每公顷居住区用地上拥有的住宅建筑套数(套/hm2)。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2.0.26 住宅建筑套密度(净)</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每公顷住宅用地上拥有的住宅建筑套数(套/hm2)。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2.0.27住宅面积毛密度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每公顷居住区用地上拥有的住宅建筑面积(m2/hm2)。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2.0.28住宅建筑面积净密度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每公顷住宅用地上拥有的住宅建筑面积(万m2/hm2)</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2.0.29 建筑面积毛密度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也称容积率，是每公顷居住区用地上拥有的各类建筑的建筑面积(m2/hm2)或以居住区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总建筑面积(万m2)与居住区用地(万m2)的比值表示。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2.0.30住宅建筑净密度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住宅建筑基底总面积与住宅用地面积的比率(%)。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2.0.31建筑密度</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居住区用地内，各类建筑的基底总面积与居住区用地的比率(%)。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2.0.32绿地率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居住区用地范围内各类绿地面积的总和占居住区用地的比率(%)。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绿地应包括：公共绿地、宅旁绿地、公共服务设施所属绿地和道路绿地(即道路红线内的绿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地)，其中包括满足当地植树绿化覆土要求、方便居民出入的地下或半地下建筑的屋顶绿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地，不应包括屋顶、晒台的人工绿地。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2.0.32a 停车率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指居住区内居民车的停车数量与居住户数的比率(%)。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2.0.32b 地面停车率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居民汽车的地面停车拉数量与居住户数的比率(%)。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2.0.33 拆建比</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拆除的原有建筑总面积与新建的建筑总面积的比值。</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 用地与建筑</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3.0.1居住区规划总用地，应包括居住区用地和其它用地两类。其各类、项用地名称可采用本规范第2章规定的代号标志。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3.0.2居住区用地构成中，各项用地面积和所占比例应符合下列规定：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3.0.2.1居住区用地平衡表的格式,，应符合本规范附录A，第A.0.5 条的要求。参与居住区用地平衡的用地应为构成居住区用地的四项用地,，其它用地不参与平衡;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3.0.2.2 居住区内各项用地所占比例的平衡控制指标，应符合 表3. 0. 2 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表3.0.2 居住区用地平衡控制指标(%)</w:t>
      </w:r>
    </w:p>
    <w:tbl>
      <w:tblPr>
        <w:tblW w:w="4800" w:type="dxa"/>
        <w:tblInd w:w="-29" w:type="dxa"/>
        <w:tblCellMar>
          <w:left w:w="0" w:type="dxa"/>
          <w:right w:w="0" w:type="dxa"/>
        </w:tblCellMar>
        <w:tblLook w:val="04A0"/>
      </w:tblPr>
      <w:tblGrid>
        <w:gridCol w:w="1938"/>
        <w:gridCol w:w="1018"/>
        <w:gridCol w:w="922"/>
        <w:gridCol w:w="922"/>
      </w:tblGrid>
      <w:tr w:rsidR="00642D4D" w:rsidRPr="00642D4D" w:rsidTr="00642D4D">
        <w:trPr>
          <w:trHeight w:val="300"/>
        </w:trPr>
        <w:tc>
          <w:tcPr>
            <w:tcW w:w="200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用地构成</w:t>
            </w:r>
          </w:p>
        </w:tc>
        <w:tc>
          <w:tcPr>
            <w:tcW w:w="10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居住区</w:t>
            </w:r>
          </w:p>
        </w:tc>
        <w:tc>
          <w:tcPr>
            <w:tcW w:w="9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小区</w:t>
            </w:r>
          </w:p>
        </w:tc>
        <w:tc>
          <w:tcPr>
            <w:tcW w:w="9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组团</w:t>
            </w:r>
          </w:p>
        </w:tc>
      </w:tr>
      <w:tr w:rsidR="00642D4D" w:rsidRPr="00642D4D" w:rsidTr="00642D4D">
        <w:trPr>
          <w:trHeight w:val="300"/>
        </w:trPr>
        <w:tc>
          <w:tcPr>
            <w:tcW w:w="20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1.住宅用地（R01）</w:t>
            </w:r>
          </w:p>
        </w:tc>
        <w:tc>
          <w:tcPr>
            <w:tcW w:w="10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50～60</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55～65</w:t>
            </w:r>
          </w:p>
        </w:tc>
        <w:tc>
          <w:tcPr>
            <w:tcW w:w="9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70～80</w:t>
            </w:r>
          </w:p>
        </w:tc>
      </w:tr>
      <w:tr w:rsidR="00642D4D" w:rsidRPr="00642D4D" w:rsidTr="00642D4D">
        <w:trPr>
          <w:trHeight w:val="300"/>
        </w:trPr>
        <w:tc>
          <w:tcPr>
            <w:tcW w:w="20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2.公建用地（R02）</w:t>
            </w:r>
          </w:p>
        </w:tc>
        <w:tc>
          <w:tcPr>
            <w:tcW w:w="10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15～25</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12～22</w:t>
            </w:r>
          </w:p>
        </w:tc>
        <w:tc>
          <w:tcPr>
            <w:tcW w:w="9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6～12</w:t>
            </w:r>
          </w:p>
        </w:tc>
      </w:tr>
      <w:tr w:rsidR="00642D4D" w:rsidRPr="00642D4D" w:rsidTr="00642D4D">
        <w:trPr>
          <w:trHeight w:val="300"/>
        </w:trPr>
        <w:tc>
          <w:tcPr>
            <w:tcW w:w="20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3.道路用地(R03)</w:t>
            </w:r>
          </w:p>
        </w:tc>
        <w:tc>
          <w:tcPr>
            <w:tcW w:w="10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10～18</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9～17</w:t>
            </w:r>
          </w:p>
        </w:tc>
        <w:tc>
          <w:tcPr>
            <w:tcW w:w="9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7～15</w:t>
            </w:r>
          </w:p>
        </w:tc>
      </w:tr>
      <w:tr w:rsidR="00642D4D" w:rsidRPr="00642D4D" w:rsidTr="00642D4D">
        <w:trPr>
          <w:trHeight w:val="300"/>
        </w:trPr>
        <w:tc>
          <w:tcPr>
            <w:tcW w:w="20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4.公共绿地(R04)</w:t>
            </w:r>
          </w:p>
        </w:tc>
        <w:tc>
          <w:tcPr>
            <w:tcW w:w="10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7.5～18</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5～15</w:t>
            </w:r>
          </w:p>
        </w:tc>
        <w:tc>
          <w:tcPr>
            <w:tcW w:w="9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3～6</w:t>
            </w:r>
          </w:p>
        </w:tc>
      </w:tr>
      <w:tr w:rsidR="00642D4D" w:rsidRPr="00642D4D" w:rsidTr="00642D4D">
        <w:trPr>
          <w:trHeight w:val="300"/>
        </w:trPr>
        <w:tc>
          <w:tcPr>
            <w:tcW w:w="20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居住区用地(R)</w:t>
            </w:r>
          </w:p>
        </w:tc>
        <w:tc>
          <w:tcPr>
            <w:tcW w:w="10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100</w:t>
            </w:r>
          </w:p>
        </w:tc>
        <w:tc>
          <w:tcPr>
            <w:tcW w:w="9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100</w:t>
            </w:r>
          </w:p>
        </w:tc>
        <w:tc>
          <w:tcPr>
            <w:tcW w:w="9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3.0.3 人均居住区用地控制指标，应符合 表3. 0. 3 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表3. 0. 3 人均居住区用地控制指标(m2/人)</w:t>
      </w:r>
    </w:p>
    <w:tbl>
      <w:tblPr>
        <w:tblW w:w="6720" w:type="dxa"/>
        <w:tblCellMar>
          <w:left w:w="0" w:type="dxa"/>
          <w:right w:w="0" w:type="dxa"/>
        </w:tblCellMar>
        <w:tblLook w:val="04A0"/>
      </w:tblPr>
      <w:tblGrid>
        <w:gridCol w:w="1143"/>
        <w:gridCol w:w="1478"/>
        <w:gridCol w:w="1344"/>
        <w:gridCol w:w="1344"/>
        <w:gridCol w:w="1411"/>
      </w:tblGrid>
      <w:tr w:rsidR="00642D4D" w:rsidRPr="00642D4D" w:rsidTr="00642D4D">
        <w:trPr>
          <w:cantSplit/>
          <w:trHeight w:val="210"/>
        </w:trPr>
        <w:tc>
          <w:tcPr>
            <w:tcW w:w="85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caps/>
                <w:kern w:val="0"/>
                <w:sz w:val="15"/>
                <w:szCs w:val="15"/>
              </w:rPr>
              <w:t>居住规模</w:t>
            </w:r>
          </w:p>
        </w:tc>
        <w:tc>
          <w:tcPr>
            <w:tcW w:w="11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caps/>
                <w:kern w:val="0"/>
                <w:sz w:val="15"/>
                <w:szCs w:val="15"/>
              </w:rPr>
              <w:t>层数</w:t>
            </w:r>
          </w:p>
        </w:tc>
        <w:tc>
          <w:tcPr>
            <w:tcW w:w="3050" w:type="pct"/>
            <w:gridSpan w:val="3"/>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caps/>
                <w:kern w:val="0"/>
                <w:sz w:val="15"/>
                <w:szCs w:val="15"/>
              </w:rPr>
              <w:t>建筑气候区划</w:t>
            </w:r>
          </w:p>
        </w:tc>
      </w:tr>
      <w:tr w:rsidR="00642D4D" w:rsidRPr="00642D4D" w:rsidTr="00642D4D">
        <w:trPr>
          <w:cantSplit/>
          <w:trHeight w:val="105"/>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spacing w:line="105" w:lineRule="atLeast"/>
              <w:jc w:val="center"/>
              <w:rPr>
                <w:rFonts w:ascii="宋体" w:eastAsia="宋体" w:hAnsi="宋体" w:cs="宋体"/>
                <w:kern w:val="0"/>
                <w:sz w:val="15"/>
                <w:szCs w:val="15"/>
              </w:rPr>
            </w:pPr>
            <w:r w:rsidRPr="00642D4D">
              <w:rPr>
                <w:rFonts w:ascii="宋体" w:eastAsia="宋体" w:hAnsi="宋体" w:cs="宋体"/>
                <w:kern w:val="0"/>
                <w:sz w:val="15"/>
                <w:szCs w:val="15"/>
              </w:rPr>
              <w:t>Ⅰ、Ⅱ、Ⅵ、Ⅶ</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spacing w:line="105" w:lineRule="atLeast"/>
              <w:jc w:val="center"/>
              <w:rPr>
                <w:rFonts w:ascii="宋体" w:eastAsia="宋体" w:hAnsi="宋体" w:cs="宋体"/>
                <w:kern w:val="0"/>
                <w:sz w:val="15"/>
                <w:szCs w:val="15"/>
              </w:rPr>
            </w:pPr>
            <w:r w:rsidRPr="00642D4D">
              <w:rPr>
                <w:rFonts w:ascii="宋体" w:eastAsia="宋体" w:hAnsi="宋体" w:cs="宋体"/>
                <w:kern w:val="0"/>
                <w:sz w:val="15"/>
                <w:szCs w:val="15"/>
              </w:rPr>
              <w:t>Ⅲ、Ⅴ</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spacing w:line="105" w:lineRule="atLeast"/>
              <w:jc w:val="center"/>
              <w:rPr>
                <w:rFonts w:ascii="宋体" w:eastAsia="宋体" w:hAnsi="宋体" w:cs="宋体"/>
                <w:kern w:val="0"/>
                <w:sz w:val="15"/>
                <w:szCs w:val="15"/>
              </w:rPr>
            </w:pPr>
            <w:r w:rsidRPr="00642D4D">
              <w:rPr>
                <w:rFonts w:ascii="宋体" w:eastAsia="宋体" w:hAnsi="宋体" w:cs="宋体"/>
                <w:kern w:val="0"/>
                <w:sz w:val="15"/>
                <w:szCs w:val="15"/>
              </w:rPr>
              <w:t>Ⅳ</w:t>
            </w:r>
          </w:p>
        </w:tc>
      </w:tr>
      <w:tr w:rsidR="00642D4D" w:rsidRPr="00642D4D" w:rsidTr="00642D4D">
        <w:trPr>
          <w:cantSplit/>
        </w:trPr>
        <w:tc>
          <w:tcPr>
            <w:tcW w:w="8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居住区</w:t>
            </w: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33～47</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30～43</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28～40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20～28</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19～27</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18～25</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多层、高层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17～26</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17～26</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17～26</w:t>
            </w:r>
          </w:p>
        </w:tc>
      </w:tr>
      <w:tr w:rsidR="00642D4D" w:rsidRPr="00642D4D" w:rsidTr="00642D4D">
        <w:trPr>
          <w:cantSplit/>
        </w:trPr>
        <w:tc>
          <w:tcPr>
            <w:tcW w:w="8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小 区</w:t>
            </w: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30～43</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28～40</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26～37</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20～28</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19～26</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18～25</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中高层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17～24</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15～22</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14～20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10～15</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10～15</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10～15</w:t>
            </w:r>
          </w:p>
        </w:tc>
      </w:tr>
      <w:tr w:rsidR="00642D4D" w:rsidRPr="00642D4D" w:rsidTr="00642D4D">
        <w:trPr>
          <w:cantSplit/>
        </w:trPr>
        <w:tc>
          <w:tcPr>
            <w:tcW w:w="850" w:type="pct"/>
            <w:vMerge w:val="restar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组 团</w:t>
            </w: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25～35</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23～32</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21～30</w:t>
            </w:r>
          </w:p>
        </w:tc>
      </w:tr>
      <w:tr w:rsidR="00642D4D" w:rsidRPr="00642D4D" w:rsidTr="00642D4D">
        <w:trPr>
          <w:cantSplit/>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16～23</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15～22</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14～20</w:t>
            </w:r>
          </w:p>
        </w:tc>
      </w:tr>
      <w:tr w:rsidR="00642D4D" w:rsidRPr="00642D4D" w:rsidTr="00642D4D">
        <w:trPr>
          <w:cantSplit/>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中高层</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14～20</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13～18</w:t>
            </w:r>
          </w:p>
        </w:tc>
        <w:tc>
          <w:tcPr>
            <w:tcW w:w="10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12～16</w:t>
            </w:r>
          </w:p>
        </w:tc>
      </w:tr>
      <w:tr w:rsidR="00642D4D" w:rsidRPr="00642D4D" w:rsidTr="00642D4D">
        <w:trPr>
          <w:cantSplit/>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1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高层</w:t>
            </w:r>
          </w:p>
        </w:tc>
        <w:tc>
          <w:tcPr>
            <w:tcW w:w="10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8～11</w:t>
            </w:r>
          </w:p>
        </w:tc>
        <w:tc>
          <w:tcPr>
            <w:tcW w:w="10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8～11</w:t>
            </w:r>
          </w:p>
        </w:tc>
        <w:tc>
          <w:tcPr>
            <w:tcW w:w="10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8～11</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注:本表各项指标按每户3.2人计算。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3.0.4 居住区内建筑应包括住宅建筑和公共服务设施建筑(也称公建)两部份;在居住区规划用地内的其它建筑的设置,应符合无污染不扰民的要求。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 规划布局与空间环境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4.0.1居住区的规划布局，应综合考虑周边环境、路网结构、公建与住宅布局、群体组合、绿地系统及空间环境等的内在联系，构成一个完善的、相对独立的有机整体，并应遵循下列原则: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4.0.1.1方便居民生活，有利安全防卫和物业管理;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4.0.1.2 组织与居住人口规模相对应的公共活动中心，方便经营、使用和社会化服务;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4.0.1.3 合理组织人流、车流和车位停放，创造安全、安静、方便的居住环境;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4.0.2居住区的空间与环境设计，应遵循下列原则: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4.0.2.1规划布局和建筑应体现地方特色，与周围环境相协调;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4.0.2.2合理设置公共服务设施，避免烟气(味)、尘及噪声对居民的污染和干扰;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4.0.2.3精心设置建筑小品，丰富与美化环境;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4.0.2.4注重景观和空间的完整性，市政公用站点等宜与住宅或公建结合安排; 供电、电讯、路灯等管线宜地下埋设;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4.0.2.5公共活动空间的环境设计，应处理好建筑、道路、广场、院落绿地和建筑小品之间及其与人的活动之间的相互关系。</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4.0.3便于寻访、识别和街道命名。</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4.0.4在重点文物保护单位和历史文化保护区保护规划范围内进行住宅设计，起规划设计必须遵循保护规划的指导;居住区内的各级文物保护单位和古树文物保护单位和古树名木必须依法予以保护;在文物保护单位的建设控制地带内的新建建筑和构筑物，不得破坏文物保护单位的环境风貌。</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 住宅</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5.0.1住宅建筑的规划设计，应综合考虑用地条件、选型、朝向、间距、绿地、层数与密度、布置方式、群体组合、空间环境和不同使用者的需要等因素确定。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5.0.1A 宜安排一定比例的老年人居住建筑。</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5.0.2 住宅间距，应以满足日照要求为基础，综合考虑采光、通风、消防、防震、管线埋设、视觉卫生等要求确定。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5.0.2.1住宅日照标准应符合 表5.0.2-1 规定;对于特定情况还应符合下列规定：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(1)老年人居住建筑不应低于冬至日日照2小时的标准;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(2)在原设计建筑外增加任何设施不应使相邻住宅原有日照标准降低;</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(3)旧区改建的项目内新建住宅日照标准可酌情降低，但不宜低于大寒日日照1小时的标准。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表5.0.2-1 住宅建筑日照标准</w:t>
      </w:r>
    </w:p>
    <w:tbl>
      <w:tblPr>
        <w:tblW w:w="8205" w:type="dxa"/>
        <w:tblCellMar>
          <w:left w:w="0" w:type="dxa"/>
          <w:right w:w="0" w:type="dxa"/>
        </w:tblCellMar>
        <w:tblLook w:val="04A0"/>
      </w:tblPr>
      <w:tblGrid>
        <w:gridCol w:w="2461"/>
        <w:gridCol w:w="1148"/>
        <w:gridCol w:w="1231"/>
        <w:gridCol w:w="1149"/>
        <w:gridCol w:w="1149"/>
        <w:gridCol w:w="1067"/>
      </w:tblGrid>
      <w:tr w:rsidR="00642D4D" w:rsidRPr="00642D4D" w:rsidTr="00642D4D">
        <w:trPr>
          <w:cantSplit/>
          <w:trHeight w:val="525"/>
        </w:trPr>
        <w:tc>
          <w:tcPr>
            <w:tcW w:w="150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建筑气候区划</w:t>
            </w:r>
          </w:p>
        </w:tc>
        <w:tc>
          <w:tcPr>
            <w:tcW w:w="1450" w:type="pct"/>
            <w:gridSpan w:val="2"/>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Ⅰ,Ⅱ,Ⅲ，Ⅶ气侯区</w:t>
            </w:r>
          </w:p>
        </w:tc>
        <w:tc>
          <w:tcPr>
            <w:tcW w:w="1400" w:type="pct"/>
            <w:gridSpan w:val="2"/>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Ⅳ气侯区</w:t>
            </w:r>
          </w:p>
        </w:tc>
        <w:tc>
          <w:tcPr>
            <w:tcW w:w="650" w:type="pct"/>
            <w:vMerge w:val="restar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Ⅴ,Ⅵ气候区</w:t>
            </w:r>
          </w:p>
        </w:tc>
      </w:tr>
      <w:tr w:rsidR="00642D4D" w:rsidRPr="00642D4D" w:rsidTr="00642D4D">
        <w:trPr>
          <w:cantSplit/>
          <w:trHeight w:val="300"/>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大城市</w:t>
            </w: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中小城市</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大城市</w:t>
            </w:r>
          </w:p>
        </w:tc>
        <w:tc>
          <w:tcPr>
            <w:tcW w:w="6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中小城市</w:t>
            </w:r>
          </w:p>
        </w:tc>
        <w:tc>
          <w:tcPr>
            <w:tcW w:w="0" w:type="auto"/>
            <w:vMerge/>
            <w:tcBorders>
              <w:top w:val="double" w:sz="6" w:space="0" w:color="000000"/>
              <w:left w:val="outset" w:sz="6" w:space="0" w:color="ECE9D8"/>
              <w:bottom w:val="single" w:sz="8" w:space="0" w:color="000000"/>
              <w:right w:val="double" w:sz="6"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r>
      <w:tr w:rsidR="00642D4D" w:rsidRPr="00642D4D" w:rsidTr="00642D4D">
        <w:trPr>
          <w:trHeight w:val="270"/>
        </w:trPr>
        <w:tc>
          <w:tcPr>
            <w:tcW w:w="15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日照标准日</w:t>
            </w:r>
          </w:p>
        </w:tc>
        <w:tc>
          <w:tcPr>
            <w:tcW w:w="2150" w:type="pct"/>
            <w:gridSpan w:val="3"/>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大寒日</w:t>
            </w:r>
          </w:p>
        </w:tc>
        <w:tc>
          <w:tcPr>
            <w:tcW w:w="13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冬至日</w:t>
            </w:r>
          </w:p>
        </w:tc>
      </w:tr>
      <w:tr w:rsidR="00642D4D" w:rsidRPr="00642D4D" w:rsidTr="00642D4D">
        <w:trPr>
          <w:trHeight w:val="225"/>
        </w:trPr>
        <w:tc>
          <w:tcPr>
            <w:tcW w:w="15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日照时数(h)</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≥2</w:t>
            </w:r>
          </w:p>
        </w:tc>
        <w:tc>
          <w:tcPr>
            <w:tcW w:w="145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≥3</w:t>
            </w:r>
          </w:p>
        </w:tc>
        <w:tc>
          <w:tcPr>
            <w:tcW w:w="13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≥1</w:t>
            </w:r>
          </w:p>
        </w:tc>
      </w:tr>
      <w:tr w:rsidR="00642D4D" w:rsidRPr="00642D4D" w:rsidTr="00642D4D">
        <w:trPr>
          <w:trHeight w:val="285"/>
        </w:trPr>
        <w:tc>
          <w:tcPr>
            <w:tcW w:w="15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有效日照时间带(h)</w:t>
            </w:r>
          </w:p>
        </w:tc>
        <w:tc>
          <w:tcPr>
            <w:tcW w:w="2150" w:type="pct"/>
            <w:gridSpan w:val="3"/>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8~16</w:t>
            </w:r>
          </w:p>
        </w:tc>
        <w:tc>
          <w:tcPr>
            <w:tcW w:w="13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9~15</w:t>
            </w:r>
          </w:p>
        </w:tc>
      </w:tr>
      <w:tr w:rsidR="00642D4D" w:rsidRPr="00642D4D" w:rsidTr="00642D4D">
        <w:trPr>
          <w:trHeight w:val="90"/>
        </w:trPr>
        <w:tc>
          <w:tcPr>
            <w:tcW w:w="15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90" w:lineRule="atLeast"/>
              <w:jc w:val="center"/>
              <w:rPr>
                <w:rFonts w:ascii="宋体" w:eastAsia="宋体" w:hAnsi="宋体" w:cs="宋体"/>
                <w:kern w:val="0"/>
                <w:sz w:val="15"/>
                <w:szCs w:val="15"/>
              </w:rPr>
            </w:pPr>
            <w:r w:rsidRPr="00642D4D">
              <w:rPr>
                <w:rFonts w:ascii="宋体" w:eastAsia="宋体" w:hAnsi="宋体" w:cs="宋体"/>
                <w:kern w:val="0"/>
                <w:sz w:val="15"/>
                <w:szCs w:val="15"/>
              </w:rPr>
              <w:t>日照时间计算起点</w:t>
            </w:r>
          </w:p>
        </w:tc>
        <w:tc>
          <w:tcPr>
            <w:tcW w:w="3500" w:type="pct"/>
            <w:gridSpan w:val="5"/>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90" w:lineRule="atLeast"/>
              <w:jc w:val="center"/>
              <w:rPr>
                <w:rFonts w:ascii="宋体" w:eastAsia="宋体" w:hAnsi="宋体" w:cs="宋体"/>
                <w:kern w:val="0"/>
                <w:sz w:val="15"/>
                <w:szCs w:val="15"/>
              </w:rPr>
            </w:pPr>
            <w:r w:rsidRPr="00642D4D">
              <w:rPr>
                <w:rFonts w:ascii="宋体" w:eastAsia="宋体" w:hAnsi="宋体" w:cs="宋体"/>
                <w:kern w:val="0"/>
                <w:sz w:val="15"/>
                <w:szCs w:val="15"/>
              </w:rPr>
              <w:t>底层窗台面</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注： ①建筑气候区划应符合本规范附录A第A.0.1条的规定。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②底层窗台面是指距离室内地坪0.9m高的外墙位置。</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5.0.2.2住宅正面间距，应按日照标准确定的不同方位的日照间距系数控制，也可采用 表5.0.2-2 不同方位间距折减系数换算。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不同方位间距折减系数 表5.0.2-2</w:t>
      </w:r>
    </w:p>
    <w:tbl>
      <w:tblPr>
        <w:tblW w:w="5537" w:type="dxa"/>
        <w:tblInd w:w="-29" w:type="dxa"/>
        <w:tblCellMar>
          <w:left w:w="0" w:type="dxa"/>
          <w:right w:w="0" w:type="dxa"/>
        </w:tblCellMar>
        <w:tblLook w:val="04A0"/>
      </w:tblPr>
      <w:tblGrid>
        <w:gridCol w:w="933"/>
        <w:gridCol w:w="933"/>
        <w:gridCol w:w="933"/>
        <w:gridCol w:w="932"/>
        <w:gridCol w:w="932"/>
        <w:gridCol w:w="874"/>
      </w:tblGrid>
      <w:tr w:rsidR="00642D4D" w:rsidRPr="00642D4D" w:rsidTr="00642D4D">
        <w:trPr>
          <w:trHeight w:val="231"/>
        </w:trPr>
        <w:tc>
          <w:tcPr>
            <w:tcW w:w="80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方位</w:t>
            </w:r>
          </w:p>
        </w:tc>
        <w:tc>
          <w:tcPr>
            <w:tcW w:w="8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0</w:t>
            </w:r>
            <w:r w:rsidRPr="00642D4D">
              <w:rPr>
                <w:rFonts w:ascii="宋体" w:eastAsia="宋体" w:hAnsi="宋体" w:cs="宋体"/>
                <w:caps/>
                <w:kern w:val="0"/>
                <w:sz w:val="15"/>
                <w:szCs w:val="15"/>
                <w:vertAlign w:val="superscript"/>
              </w:rPr>
              <w:t>O</w:t>
            </w:r>
            <w:r w:rsidRPr="00642D4D">
              <w:rPr>
                <w:rFonts w:ascii="宋体" w:eastAsia="宋体" w:hAnsi="宋体" w:cs="宋体"/>
                <w:caps/>
                <w:kern w:val="0"/>
                <w:sz w:val="15"/>
                <w:szCs w:val="15"/>
              </w:rPr>
              <w:t>~ 15</w:t>
            </w:r>
            <w:r w:rsidRPr="00642D4D">
              <w:rPr>
                <w:rFonts w:ascii="宋体" w:eastAsia="宋体" w:hAnsi="宋体" w:cs="宋体"/>
                <w:caps/>
                <w:kern w:val="0"/>
                <w:sz w:val="15"/>
                <w:szCs w:val="15"/>
                <w:vertAlign w:val="superscript"/>
              </w:rPr>
              <w:t>O</w:t>
            </w:r>
          </w:p>
        </w:tc>
        <w:tc>
          <w:tcPr>
            <w:tcW w:w="8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15</w:t>
            </w:r>
            <w:r w:rsidRPr="00642D4D">
              <w:rPr>
                <w:rFonts w:ascii="宋体" w:eastAsia="宋体" w:hAnsi="宋体" w:cs="宋体"/>
                <w:caps/>
                <w:kern w:val="0"/>
                <w:sz w:val="15"/>
                <w:szCs w:val="15"/>
                <w:vertAlign w:val="superscript"/>
              </w:rPr>
              <w:t>O</w:t>
            </w:r>
            <w:r w:rsidRPr="00642D4D">
              <w:rPr>
                <w:rFonts w:ascii="宋体" w:eastAsia="宋体" w:hAnsi="宋体" w:cs="宋体"/>
                <w:caps/>
                <w:kern w:val="0"/>
                <w:sz w:val="15"/>
                <w:szCs w:val="15"/>
              </w:rPr>
              <w:t>~30</w:t>
            </w:r>
            <w:r w:rsidRPr="00642D4D">
              <w:rPr>
                <w:rFonts w:ascii="宋体" w:eastAsia="宋体" w:hAnsi="宋体" w:cs="宋体"/>
                <w:caps/>
                <w:kern w:val="0"/>
                <w:sz w:val="15"/>
                <w:szCs w:val="15"/>
                <w:vertAlign w:val="superscript"/>
              </w:rPr>
              <w:t>O</w:t>
            </w:r>
          </w:p>
        </w:tc>
        <w:tc>
          <w:tcPr>
            <w:tcW w:w="8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30</w:t>
            </w:r>
            <w:r w:rsidRPr="00642D4D">
              <w:rPr>
                <w:rFonts w:ascii="宋体" w:eastAsia="宋体" w:hAnsi="宋体" w:cs="宋体"/>
                <w:caps/>
                <w:kern w:val="0"/>
                <w:sz w:val="15"/>
                <w:szCs w:val="15"/>
                <w:vertAlign w:val="superscript"/>
              </w:rPr>
              <w:t>O</w:t>
            </w:r>
            <w:r w:rsidRPr="00642D4D">
              <w:rPr>
                <w:rFonts w:ascii="宋体" w:eastAsia="宋体" w:hAnsi="宋体" w:cs="宋体"/>
                <w:caps/>
                <w:kern w:val="0"/>
                <w:sz w:val="15"/>
                <w:szCs w:val="15"/>
              </w:rPr>
              <w:t>~45</w:t>
            </w:r>
            <w:r w:rsidRPr="00642D4D">
              <w:rPr>
                <w:rFonts w:ascii="宋体" w:eastAsia="宋体" w:hAnsi="宋体" w:cs="宋体"/>
                <w:caps/>
                <w:kern w:val="0"/>
                <w:sz w:val="15"/>
                <w:szCs w:val="15"/>
                <w:vertAlign w:val="superscript"/>
              </w:rPr>
              <w:t>O</w:t>
            </w:r>
          </w:p>
        </w:tc>
        <w:tc>
          <w:tcPr>
            <w:tcW w:w="8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45</w:t>
            </w:r>
            <w:r w:rsidRPr="00642D4D">
              <w:rPr>
                <w:rFonts w:ascii="宋体" w:eastAsia="宋体" w:hAnsi="宋体" w:cs="宋体"/>
                <w:caps/>
                <w:kern w:val="0"/>
                <w:sz w:val="15"/>
                <w:szCs w:val="15"/>
                <w:vertAlign w:val="superscript"/>
              </w:rPr>
              <w:t>O</w:t>
            </w:r>
            <w:r w:rsidRPr="00642D4D">
              <w:rPr>
                <w:rFonts w:ascii="宋体" w:eastAsia="宋体" w:hAnsi="宋体" w:cs="宋体"/>
                <w:caps/>
                <w:kern w:val="0"/>
                <w:sz w:val="15"/>
                <w:szCs w:val="15"/>
              </w:rPr>
              <w:t>~60</w:t>
            </w:r>
            <w:r w:rsidRPr="00642D4D">
              <w:rPr>
                <w:rFonts w:ascii="宋体" w:eastAsia="宋体" w:hAnsi="宋体" w:cs="宋体"/>
                <w:caps/>
                <w:kern w:val="0"/>
                <w:sz w:val="15"/>
                <w:szCs w:val="15"/>
                <w:vertAlign w:val="superscript"/>
              </w:rPr>
              <w:t>O</w:t>
            </w:r>
          </w:p>
        </w:tc>
        <w:tc>
          <w:tcPr>
            <w:tcW w:w="7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&gt;60</w:t>
            </w:r>
            <w:r w:rsidRPr="00642D4D">
              <w:rPr>
                <w:rFonts w:ascii="宋体" w:eastAsia="宋体" w:hAnsi="宋体" w:cs="宋体"/>
                <w:caps/>
                <w:kern w:val="0"/>
                <w:sz w:val="15"/>
                <w:szCs w:val="15"/>
                <w:vertAlign w:val="superscript"/>
              </w:rPr>
              <w:t>O</w:t>
            </w:r>
          </w:p>
        </w:tc>
      </w:tr>
      <w:tr w:rsidR="00642D4D" w:rsidRPr="00642D4D" w:rsidTr="00642D4D">
        <w:trPr>
          <w:trHeight w:val="130"/>
        </w:trPr>
        <w:tc>
          <w:tcPr>
            <w:tcW w:w="8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折减值</w:t>
            </w:r>
          </w:p>
        </w:tc>
        <w:tc>
          <w:tcPr>
            <w:tcW w:w="8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1.00L</w:t>
            </w:r>
          </w:p>
        </w:tc>
        <w:tc>
          <w:tcPr>
            <w:tcW w:w="8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0.90L</w:t>
            </w:r>
          </w:p>
        </w:tc>
        <w:tc>
          <w:tcPr>
            <w:tcW w:w="8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0.80L</w:t>
            </w:r>
          </w:p>
        </w:tc>
        <w:tc>
          <w:tcPr>
            <w:tcW w:w="8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0.90L</w:t>
            </w:r>
          </w:p>
        </w:tc>
        <w:tc>
          <w:tcPr>
            <w:tcW w:w="7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30" w:lineRule="atLeast"/>
              <w:jc w:val="center"/>
              <w:rPr>
                <w:rFonts w:ascii="宋体" w:eastAsia="宋体" w:hAnsi="宋体" w:cs="宋体"/>
                <w:kern w:val="0"/>
                <w:sz w:val="15"/>
                <w:szCs w:val="15"/>
              </w:rPr>
            </w:pPr>
            <w:r w:rsidRPr="00642D4D">
              <w:rPr>
                <w:rFonts w:ascii="宋体" w:eastAsia="宋体" w:hAnsi="宋体" w:cs="宋体"/>
                <w:kern w:val="0"/>
                <w:sz w:val="15"/>
                <w:szCs w:val="15"/>
              </w:rPr>
              <w:t>0.95L</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①表中方位为正南向(0°)偏东、偏西的方位角。</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②L为当地正南向住宅的标准日照间距(M)。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③本表指标仅适用于无其他日照遮挡的平行布置条式住宅之间。</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5.0.2.3 住宅侧面间距，应符合下列规定：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(1)条式住宅，多层之间不宜小于6M; 高层与各种层数住宅之间不宜小于13M;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(2)高层塔式住宅、 多层和中高层点式住宅与侧面有窗的各种层数住宅之间应考虑视觉卫生因素，适当加大间距。</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 住宅布置，应符合下列规定：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5.0.3.1选用环境条件优越的地段布置住宅，其布置应合理紧凑;</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5.0.3.2面街布置的住宅，其出入口应避免直接开向城市道路和居住区级道路;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5.0.3.3在Ⅰ、Ⅱ、Ⅵ、Ⅶ建筑气候区，主要应利用于住宅冬季的日照、防寒、保温与防风沙的侵袭;在Ⅲ、Ⅳ建筑气候区，主要应考虑住宅夏季防热和组织自然通风、导入室的要求;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5.0.3.4在丘陵和山区，除考虑住宅布置与主导风向的关系外,，尚应重视因地形变化而产生的地方风对住宅建筑防寒、保温或自然通风的影响;</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5.0.3.5老年人居住建筑宜靠近相关服务设施和公共绿地。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5.0.4 住宅设计标准，应符合现行国家标准《住宅设计规范》GB5096-99的规定，宜采用多种户型和多种面积标准。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5.0.5 住宅层数，应符合下列规定：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5.0.5.1根据城市规划要求和综合经济效益，确定经济的住宅层数与合理的层数结构;</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5.0.5.2 无电梯住宅不应超过六层。在地形起伏较大的地区,，当住宅分层入口时,可按进入住宅后的单程上或下的层数计算。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5.0.6住宅建筑面积净密度，应符合下列规定：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5.0.6.1住宅建筑净密度的最大值，不宜超过 表5.0.6-1 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表5.0.6-1 住宅建筑面积净密度最大值控制指标(%)</w:t>
      </w:r>
    </w:p>
    <w:tbl>
      <w:tblPr>
        <w:tblW w:w="6090" w:type="dxa"/>
        <w:tblCellMar>
          <w:left w:w="0" w:type="dxa"/>
          <w:right w:w="0" w:type="dxa"/>
        </w:tblCellMar>
        <w:tblLook w:val="04A0"/>
      </w:tblPr>
      <w:tblGrid>
        <w:gridCol w:w="1341"/>
        <w:gridCol w:w="1583"/>
        <w:gridCol w:w="1583"/>
        <w:gridCol w:w="1583"/>
      </w:tblGrid>
      <w:tr w:rsidR="00642D4D" w:rsidRPr="00642D4D" w:rsidTr="00642D4D">
        <w:trPr>
          <w:cantSplit/>
        </w:trPr>
        <w:tc>
          <w:tcPr>
            <w:tcW w:w="110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住宅层数</w:t>
            </w:r>
          </w:p>
        </w:tc>
        <w:tc>
          <w:tcPr>
            <w:tcW w:w="3900" w:type="pct"/>
            <w:gridSpan w:val="3"/>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建筑气候区划</w:t>
            </w:r>
          </w:p>
        </w:tc>
      </w:tr>
      <w:tr w:rsidR="00642D4D" w:rsidRPr="00642D4D" w:rsidTr="00642D4D">
        <w:trPr>
          <w:cantSplit/>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Ⅰ、Ⅱ、Ⅵ、Ⅶ</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Ⅲ、Ⅴ</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Ⅵ</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35</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40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43</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28</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32</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中高层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25</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28</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r>
      <w:tr w:rsidR="00642D4D" w:rsidRPr="00642D4D" w:rsidTr="00642D4D">
        <w:tc>
          <w:tcPr>
            <w:tcW w:w="11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高层</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13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22</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混合层取两者的指标值作为控制指标的上、下限值。</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5.0.6.2住宅建筑面积净密度的最大值，应符合 表5.0.6-2 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表5.0.6-2 住宅建筑面积净密度最大值控制指标(万m2/ha)</w:t>
      </w:r>
    </w:p>
    <w:tbl>
      <w:tblPr>
        <w:tblW w:w="6090" w:type="dxa"/>
        <w:tblCellMar>
          <w:left w:w="0" w:type="dxa"/>
          <w:right w:w="0" w:type="dxa"/>
        </w:tblCellMar>
        <w:tblLook w:val="04A0"/>
      </w:tblPr>
      <w:tblGrid>
        <w:gridCol w:w="1341"/>
        <w:gridCol w:w="1583"/>
        <w:gridCol w:w="1583"/>
        <w:gridCol w:w="1583"/>
      </w:tblGrid>
      <w:tr w:rsidR="00642D4D" w:rsidRPr="00642D4D" w:rsidTr="00642D4D">
        <w:trPr>
          <w:cantSplit/>
        </w:trPr>
        <w:tc>
          <w:tcPr>
            <w:tcW w:w="110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住宅层数</w:t>
            </w:r>
          </w:p>
        </w:tc>
        <w:tc>
          <w:tcPr>
            <w:tcW w:w="3900" w:type="pct"/>
            <w:gridSpan w:val="3"/>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建筑气候区划</w:t>
            </w:r>
          </w:p>
        </w:tc>
      </w:tr>
      <w:tr w:rsidR="00642D4D" w:rsidRPr="00642D4D" w:rsidTr="00642D4D">
        <w:trPr>
          <w:cantSplit/>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Ⅰ、Ⅱ、Ⅵ、Ⅶ</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Ⅲ、Ⅴ</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Ⅵ</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 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1.10</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1.20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1.30</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 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1.70</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1.80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1.90</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中高层</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2.00</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2.20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2.40</w:t>
            </w:r>
          </w:p>
        </w:tc>
      </w:tr>
      <w:tr w:rsidR="00642D4D" w:rsidRPr="00642D4D" w:rsidTr="00642D4D">
        <w:tc>
          <w:tcPr>
            <w:tcW w:w="11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 层</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3.50</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3.50</w:t>
            </w:r>
          </w:p>
        </w:tc>
        <w:tc>
          <w:tcPr>
            <w:tcW w:w="13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3.50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①混合层取两者的指标值作为控制指标的上、下限值;</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②本表不计入地下层面积。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 公共服务设施</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6.0.1 居住区公共服务设施(也称配套公建)，应包括：教育、医疗卫生、文化体育、商业服务、金融邮电、社区服务、市政公用和行政管理及其他八类设施。</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6.0.2居住区配套公建的配建水平，必须与居住人口规模相对应。并应与住宅同步规划、同步建设和同时投入使用。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 居住区配套公建的项目，应符合本规范附录A第A.0.6 条规定。配建指标，应以 表6.0.3 规定的千人总指标和分类指标控制，并应遵循下列原则：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表6.0.3 共服务设施控制指标(m2/千人)</w:t>
      </w:r>
    </w:p>
    <w:tbl>
      <w:tblPr>
        <w:tblW w:w="8715" w:type="dxa"/>
        <w:tblCellSpacing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2"/>
        <w:gridCol w:w="1131"/>
        <w:gridCol w:w="1131"/>
        <w:gridCol w:w="1218"/>
        <w:gridCol w:w="1131"/>
        <w:gridCol w:w="1218"/>
        <w:gridCol w:w="1131"/>
        <w:gridCol w:w="1223"/>
      </w:tblGrid>
      <w:tr w:rsidR="00642D4D" w:rsidRPr="00642D4D" w:rsidTr="00642D4D">
        <w:trPr>
          <w:cantSplit/>
          <w:tblCellSpacing w:w="5" w:type="dxa"/>
        </w:trPr>
        <w:tc>
          <w:tcPr>
            <w:tcW w:w="950" w:type="pct"/>
            <w:gridSpan w:val="2"/>
            <w:vMerge w:val="restar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居住规模</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类</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别</w:t>
            </w:r>
          </w:p>
        </w:tc>
        <w:tc>
          <w:tcPr>
            <w:tcW w:w="1350" w:type="pct"/>
            <w:gridSpan w:val="2"/>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居</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住</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区</w:t>
            </w:r>
          </w:p>
        </w:tc>
        <w:tc>
          <w:tcPr>
            <w:tcW w:w="1350" w:type="pct"/>
            <w:gridSpan w:val="2"/>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小</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区</w:t>
            </w:r>
          </w:p>
        </w:tc>
        <w:tc>
          <w:tcPr>
            <w:tcW w:w="1350" w:type="pct"/>
            <w:gridSpan w:val="2"/>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组</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团</w:t>
            </w:r>
          </w:p>
        </w:tc>
      </w:tr>
      <w:tr w:rsidR="00642D4D" w:rsidRPr="00642D4D" w:rsidTr="00642D4D">
        <w:trPr>
          <w:cantSplit/>
          <w:tblCellSpacing w:w="5" w:type="dxa"/>
        </w:trPr>
        <w:tc>
          <w:tcPr>
            <w:tcW w:w="0" w:type="auto"/>
            <w:gridSpan w:val="2"/>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建筑面积</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用地面积</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建筑面积</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用地面积</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建筑面积</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用地面积</w:t>
            </w:r>
          </w:p>
        </w:tc>
      </w:tr>
      <w:tr w:rsidR="00642D4D" w:rsidRPr="00642D4D" w:rsidTr="00642D4D">
        <w:trPr>
          <w:tblCellSpacing w:w="5" w:type="dxa"/>
        </w:trPr>
        <w:tc>
          <w:tcPr>
            <w:tcW w:w="950" w:type="pct"/>
            <w:gridSpan w:val="2"/>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总</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指</w:t>
            </w:r>
            <w:r w:rsidRPr="00642D4D">
              <w:rPr>
                <w:rFonts w:ascii="Arial" w:eastAsia="宋体" w:hAnsi="Arial" w:cs="Arial"/>
                <w:color w:val="545454"/>
                <w:kern w:val="0"/>
                <w:sz w:val="15"/>
                <w:szCs w:val="15"/>
              </w:rPr>
              <w:t xml:space="preserve"> </w:t>
            </w:r>
            <w:r w:rsidRPr="00642D4D">
              <w:rPr>
                <w:rFonts w:ascii="Arial" w:eastAsia="宋体" w:hAnsi="Arial" w:cs="Arial"/>
                <w:color w:val="545454"/>
                <w:kern w:val="0"/>
                <w:sz w:val="15"/>
                <w:szCs w:val="15"/>
              </w:rPr>
              <w:t>标</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1668~3293</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(2228~4213)</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2172~5559</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(2762~6329)</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968~2397</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(1338~2977)</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1097~3835</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(1491~4585)</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362~856</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(703~1356)</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488~1058</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(868~1578)</w:t>
            </w:r>
          </w:p>
        </w:tc>
      </w:tr>
      <w:tr w:rsidR="00642D4D" w:rsidRPr="00642D4D" w:rsidTr="00642D4D">
        <w:trPr>
          <w:cantSplit/>
          <w:tblCellSpacing w:w="5" w:type="dxa"/>
        </w:trPr>
        <w:tc>
          <w:tcPr>
            <w:tcW w:w="300" w:type="pct"/>
            <w:vMerge w:val="restar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　</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　</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　</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其</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　</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　</w:t>
            </w:r>
          </w:p>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中</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教育</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600~1200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1000~2400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330~1200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700~2400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160~400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300~500</w:t>
            </w:r>
          </w:p>
        </w:tc>
      </w:tr>
      <w:tr w:rsidR="00642D4D" w:rsidRPr="00642D4D" w:rsidTr="00642D4D">
        <w:trPr>
          <w:cantSplit/>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医疗卫生</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含医院</w:t>
            </w: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78~198</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(178~398)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138~378</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(298~548)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38~98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78~228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6~20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12~40</w:t>
            </w:r>
          </w:p>
        </w:tc>
      </w:tr>
      <w:tr w:rsidR="00642D4D" w:rsidRPr="00642D4D" w:rsidTr="00642D4D">
        <w:trPr>
          <w:cantSplit/>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文体</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125~245</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225~645</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45~75</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65~105</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18~24</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40~60</w:t>
            </w:r>
          </w:p>
        </w:tc>
      </w:tr>
      <w:tr w:rsidR="00642D4D" w:rsidRPr="00642D4D" w:rsidTr="00642D4D">
        <w:trPr>
          <w:cantSplit/>
          <w:trHeight w:val="180"/>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商业服务</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700~910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700~910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450~570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100~600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150~370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100~400</w:t>
            </w:r>
          </w:p>
        </w:tc>
      </w:tr>
      <w:tr w:rsidR="00642D4D" w:rsidRPr="00642D4D" w:rsidTr="00642D4D">
        <w:trPr>
          <w:cantSplit/>
          <w:trHeight w:val="135"/>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社区服务</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59~464</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76~668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59~292</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76~328</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19~32</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16~28</w:t>
            </w:r>
          </w:p>
        </w:tc>
      </w:tr>
      <w:tr w:rsidR="00642D4D" w:rsidRPr="00642D4D" w:rsidTr="00642D4D">
        <w:trPr>
          <w:cantSplit/>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金融邮电</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含银行、邮电局</w:t>
            </w: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20~30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(60~80)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25~50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16~22</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22~34</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市政公用</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含</w:t>
            </w:r>
            <w:r w:rsidRPr="00642D4D">
              <w:rPr>
                <w:rFonts w:ascii="Arial" w:eastAsia="宋体" w:hAnsi="Arial" w:cs="Arial"/>
                <w:color w:val="545454"/>
                <w:kern w:val="0"/>
                <w:sz w:val="15"/>
                <w:szCs w:val="15"/>
                <w:u w:val="single"/>
              </w:rPr>
              <w:t>居民</w:t>
            </w:r>
            <w:r w:rsidRPr="00642D4D">
              <w:rPr>
                <w:rFonts w:ascii="Arial" w:eastAsia="宋体" w:hAnsi="Arial" w:cs="Arial"/>
                <w:color w:val="545454"/>
                <w:kern w:val="0"/>
                <w:sz w:val="15"/>
                <w:szCs w:val="15"/>
              </w:rPr>
              <w:t>存车处</w:t>
            </w: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40~150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(460~820)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70~360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(500~960)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30~120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(400~700)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50~80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(450~700)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9~10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(350~510)</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20~30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(400~550)</w:t>
            </w:r>
          </w:p>
        </w:tc>
      </w:tr>
      <w:tr w:rsidR="00642D4D" w:rsidRPr="00642D4D" w:rsidTr="00642D4D">
        <w:trPr>
          <w:cantSplit/>
          <w:tblCellSpacing w:w="5" w:type="dxa"/>
        </w:trPr>
        <w:tc>
          <w:tcPr>
            <w:tcW w:w="0" w:type="auto"/>
            <w:vMerge/>
            <w:tcBorders>
              <w:top w:val="nil"/>
              <w:left w:val="nil"/>
              <w:bottom w:val="nil"/>
              <w:right w:val="nil"/>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left"/>
              <w:rPr>
                <w:rFonts w:ascii="Arial" w:eastAsia="宋体" w:hAnsi="Arial" w:cs="Arial"/>
                <w:color w:val="545454"/>
                <w:kern w:val="0"/>
                <w:sz w:val="15"/>
                <w:szCs w:val="15"/>
              </w:rPr>
            </w:pPr>
            <w:r w:rsidRPr="00642D4D">
              <w:rPr>
                <w:rFonts w:ascii="Arial" w:eastAsia="宋体" w:hAnsi="Arial" w:cs="Arial"/>
                <w:color w:val="545454"/>
                <w:kern w:val="0"/>
                <w:sz w:val="15"/>
                <w:szCs w:val="15"/>
              </w:rPr>
              <w:t>行政管理及其它</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46~96</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37~72</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tcBorders>
              <w:top w:val="nil"/>
              <w:left w:val="nil"/>
              <w:bottom w:val="nil"/>
              <w:right w:val="nil"/>
            </w:tcBorders>
            <w:shd w:val="clear" w:color="auto" w:fill="auto"/>
            <w:tcMar>
              <w:top w:w="105" w:type="dxa"/>
              <w:left w:w="105" w:type="dxa"/>
              <w:bottom w:w="105" w:type="dxa"/>
              <w:right w:w="105" w:type="dxa"/>
            </w:tcMa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①居住区级指标含小区和组团级指标，小区级含组团级指标，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②公共服务设施总用地的控制指标应符合表3.0.2 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③总指标未含其他类，使用时应根据规划设计要求确定本类面积指标;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④小区医疗卫生类未含门诊所;</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⑤市政公用类未含锅炉房，在采暖地区应自选确定。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6.0.3.1各地应按表6.0.3中规定所确定的本规范附录A第A.0.6 条中有关项目及具体指标控制;</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6.0.3.2本规范附录A第A.0.6 条和 表6.0.3在使用时可根据规划布局形式和规划地四周的设施条件，对配建项目进行合理的归并、调整;但不应少于与其居住人口规模相对应的应配建项目与千人总指标;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6.0.3.3当规划用地内的居住人口规模界于组团和小区之间或小区和居住区之间时;除配建下一级应配建的项目外;还应根据所增人数及规划用地周围的设施条件，增配高一级的有关项目及增加有关指标;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6.0.3.4(取消该款)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6.0.3.5 (取消该款)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6.0.3.6旧区改建和城市边缘的居住区，其配建项目与千人总指标可酌情增减，但应符合当地城市规划行政主管部门的有关规定;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6.0.3.7凡国家确定的一、二类人防重点城市均应按国家人防部门的有关规定配建防空地下室，并应遵循平战结合的原则，与城市地下空间规划相结合，统筹安排。将居住区使用部份的面积，按其使用性质纳入配套公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6.0.3.8居住区配套公建各项目的设置要求，应符合本规范附录A，第A.0.7 条的规定。对其中的服务内容可酌情选用。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6.0.4 居住区配套公建各项目的规划布局，应符合下列规定：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6.0.4.1根据不同项目的使用性质和居住区的规划规划布局形式，应采用相对集中与适当分散相结合的方式合理布局。并应利于发挥设施效益，方便经营管理、使用和减少干扰;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6.0.4.2商业服务与金融邮电、文体等有关项目宜集中布置，形成居住区各级公共活动中心;</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6.0.4.3基层服务设施的设置应方便居民，满足服务半径的要求。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6.0.4.4配套公建的规划布局和设计应考虑发展需要。</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6.0.5 居住区内公共活动中心、集贸市场和人流较多的公共建筑，必须相应配建公共停车场(库)，并应符合下列规定：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6.0.5.1 配建公共停车场(库)的停车位控制指标，应符合 表6.0.5 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表6.0.5 配建公共停车场(库)停车位控制指标</w:t>
      </w:r>
    </w:p>
    <w:tbl>
      <w:tblPr>
        <w:tblW w:w="5408" w:type="dxa"/>
        <w:tblInd w:w="-45" w:type="dxa"/>
        <w:tblCellMar>
          <w:left w:w="0" w:type="dxa"/>
          <w:right w:w="0" w:type="dxa"/>
        </w:tblCellMar>
        <w:tblLook w:val="04A0"/>
      </w:tblPr>
      <w:tblGrid>
        <w:gridCol w:w="1474"/>
        <w:gridCol w:w="2076"/>
        <w:gridCol w:w="929"/>
        <w:gridCol w:w="929"/>
      </w:tblGrid>
      <w:tr w:rsidR="00642D4D" w:rsidRPr="00642D4D" w:rsidTr="00642D4D">
        <w:tc>
          <w:tcPr>
            <w:tcW w:w="13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名 称</w:t>
            </w:r>
          </w:p>
        </w:tc>
        <w:tc>
          <w:tcPr>
            <w:tcW w:w="19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单 位</w:t>
            </w:r>
          </w:p>
        </w:tc>
        <w:tc>
          <w:tcPr>
            <w:tcW w:w="8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自行车</w:t>
            </w:r>
          </w:p>
        </w:tc>
        <w:tc>
          <w:tcPr>
            <w:tcW w:w="8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机动车</w:t>
            </w:r>
          </w:p>
        </w:tc>
      </w:tr>
      <w:tr w:rsidR="00642D4D" w:rsidRPr="00642D4D" w:rsidTr="00642D4D">
        <w:tc>
          <w:tcPr>
            <w:tcW w:w="13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公共中心</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车位/100m</w:t>
            </w:r>
            <w:r w:rsidRPr="00642D4D">
              <w:rPr>
                <w:rFonts w:ascii="宋体" w:eastAsia="宋体" w:hAnsi="宋体" w:cs="宋体"/>
                <w:kern w:val="0"/>
                <w:sz w:val="15"/>
                <w:szCs w:val="15"/>
                <w:vertAlign w:val="superscript"/>
              </w:rPr>
              <w:t>2</w:t>
            </w:r>
            <w:r w:rsidRPr="00642D4D">
              <w:rPr>
                <w:rFonts w:ascii="宋体" w:eastAsia="宋体" w:hAnsi="宋体" w:cs="宋体"/>
                <w:kern w:val="0"/>
                <w:sz w:val="15"/>
                <w:szCs w:val="15"/>
              </w:rPr>
              <w:t>建筑面积</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7．5</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0．3</w:t>
            </w:r>
          </w:p>
        </w:tc>
      </w:tr>
      <w:tr w:rsidR="00642D4D" w:rsidRPr="00642D4D" w:rsidTr="00642D4D">
        <w:tc>
          <w:tcPr>
            <w:tcW w:w="13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商业中心</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车位/100 m</w:t>
            </w:r>
            <w:r w:rsidRPr="00642D4D">
              <w:rPr>
                <w:rFonts w:ascii="宋体" w:eastAsia="宋体" w:hAnsi="宋体" w:cs="宋体"/>
                <w:kern w:val="0"/>
                <w:sz w:val="15"/>
                <w:szCs w:val="15"/>
                <w:vertAlign w:val="superscript"/>
              </w:rPr>
              <w:t>2</w:t>
            </w:r>
            <w:r w:rsidRPr="00642D4D">
              <w:rPr>
                <w:rFonts w:ascii="宋体" w:eastAsia="宋体" w:hAnsi="宋体" w:cs="宋体"/>
                <w:kern w:val="0"/>
                <w:sz w:val="15"/>
                <w:szCs w:val="15"/>
              </w:rPr>
              <w:t>营业面积</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7．5</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0．3</w:t>
            </w:r>
          </w:p>
        </w:tc>
      </w:tr>
      <w:tr w:rsidR="00642D4D" w:rsidRPr="00642D4D" w:rsidTr="00642D4D">
        <w:tc>
          <w:tcPr>
            <w:tcW w:w="13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集贸市场</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车位/100 m</w:t>
            </w:r>
            <w:r w:rsidRPr="00642D4D">
              <w:rPr>
                <w:rFonts w:ascii="宋体" w:eastAsia="宋体" w:hAnsi="宋体" w:cs="宋体"/>
                <w:kern w:val="0"/>
                <w:sz w:val="15"/>
                <w:szCs w:val="15"/>
                <w:vertAlign w:val="superscript"/>
              </w:rPr>
              <w:t>2</w:t>
            </w:r>
            <w:r w:rsidRPr="00642D4D">
              <w:rPr>
                <w:rFonts w:ascii="宋体" w:eastAsia="宋体" w:hAnsi="宋体" w:cs="宋体"/>
                <w:kern w:val="0"/>
                <w:sz w:val="15"/>
                <w:szCs w:val="15"/>
              </w:rPr>
              <w:t>营业面积</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7．5</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r>
      <w:tr w:rsidR="00642D4D" w:rsidRPr="00642D4D" w:rsidTr="00642D4D">
        <w:tc>
          <w:tcPr>
            <w:tcW w:w="13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饮 食 店</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车位/100 m</w:t>
            </w:r>
            <w:r w:rsidRPr="00642D4D">
              <w:rPr>
                <w:rFonts w:ascii="宋体" w:eastAsia="宋体" w:hAnsi="宋体" w:cs="宋体"/>
                <w:kern w:val="0"/>
                <w:sz w:val="15"/>
                <w:szCs w:val="15"/>
                <w:vertAlign w:val="superscript"/>
              </w:rPr>
              <w:t>2</w:t>
            </w:r>
            <w:r w:rsidRPr="00642D4D">
              <w:rPr>
                <w:rFonts w:ascii="宋体" w:eastAsia="宋体" w:hAnsi="宋体" w:cs="宋体"/>
                <w:kern w:val="0"/>
                <w:sz w:val="15"/>
                <w:szCs w:val="15"/>
              </w:rPr>
              <w:t>营业面积</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3．6</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1．7</w:t>
            </w:r>
          </w:p>
        </w:tc>
      </w:tr>
      <w:tr w:rsidR="00642D4D" w:rsidRPr="00642D4D" w:rsidTr="00642D4D">
        <w:tc>
          <w:tcPr>
            <w:tcW w:w="135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医院、门诊所</w:t>
            </w:r>
          </w:p>
        </w:tc>
        <w:tc>
          <w:tcPr>
            <w:tcW w:w="19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车位/100 m</w:t>
            </w:r>
            <w:r w:rsidRPr="00642D4D">
              <w:rPr>
                <w:rFonts w:ascii="宋体" w:eastAsia="宋体" w:hAnsi="宋体" w:cs="宋体"/>
                <w:kern w:val="0"/>
                <w:sz w:val="15"/>
                <w:szCs w:val="15"/>
                <w:vertAlign w:val="superscript"/>
              </w:rPr>
              <w:t>2</w:t>
            </w:r>
            <w:r w:rsidRPr="00642D4D">
              <w:rPr>
                <w:rFonts w:ascii="宋体" w:eastAsia="宋体" w:hAnsi="宋体" w:cs="宋体"/>
                <w:kern w:val="0"/>
                <w:sz w:val="15"/>
                <w:szCs w:val="15"/>
              </w:rPr>
              <w:t>建筑面积</w:t>
            </w:r>
          </w:p>
        </w:tc>
        <w:tc>
          <w:tcPr>
            <w:tcW w:w="8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8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①本表机动车停车车位以小型汽车为标准当量表示;</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②其它各型车辆停车位的换算办法，应符合本规范第11章中有关规定。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6.0.5.2 配建公共停车场(库)应就近设置，并宜采用地下或多层车库。</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 绿地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7.0.1 居住区内绿地，应包括公共绿地、宅旁绿地、配套公建所属绿地和道路绿地，其中包括了满足当地植树绿化覆土要求、方便居民出入的地下或半地下建筑的屋顶绿地。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7.0.2居住区内绿地应符合下列规定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7.0.2.1一切可绿化的用地均应绿化，并窒发展垂直绿化;</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7.0.2.2宅间绿地应精心规划与设计; 宅间绿地面积计算办法应符合本规范第11章中有关规定;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7.0.2.3 绿地率： 新区建设不应低于30%; 旧区改建不宜低于25%。</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7.0.3居住区内的绿地规划，应根据居住区的规划布局形式、环境特点及用地的具体条件，采用集中与分散相结合，点、线、面相结合的绿地系统。并宜保留和利用规划范围内的已有树木和绿地。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7.0.4居住区内的公共绿地，应根据居住区不同的规划布局形式设置相应的中心绿地，以及老年人、儿童活动场地和其他的块状、带状公共绿地等，并应符合下列规定：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7.0.4.1中心绿地的设置应符合下列规定：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(1)符合 表7.0.4-1 规定，表内“设置内容”可视具体条件选用;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表7.0.4-1 各级中心绿地设置规定</w:t>
      </w:r>
    </w:p>
    <w:tbl>
      <w:tblPr>
        <w:tblW w:w="8561" w:type="dxa"/>
        <w:tblInd w:w="-45" w:type="dxa"/>
        <w:tblCellMar>
          <w:left w:w="0" w:type="dxa"/>
          <w:right w:w="0" w:type="dxa"/>
        </w:tblCellMar>
        <w:tblLook w:val="04A0"/>
      </w:tblPr>
      <w:tblGrid>
        <w:gridCol w:w="1485"/>
        <w:gridCol w:w="3320"/>
        <w:gridCol w:w="2272"/>
        <w:gridCol w:w="1484"/>
      </w:tblGrid>
      <w:tr w:rsidR="00642D4D" w:rsidRPr="00642D4D" w:rsidTr="00642D4D">
        <w:tc>
          <w:tcPr>
            <w:tcW w:w="8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中心绿地名称</w:t>
            </w:r>
          </w:p>
        </w:tc>
        <w:tc>
          <w:tcPr>
            <w:tcW w:w="19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设置内容</w:t>
            </w:r>
          </w:p>
        </w:tc>
        <w:tc>
          <w:tcPr>
            <w:tcW w:w="13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要 求</w:t>
            </w:r>
          </w:p>
        </w:tc>
        <w:tc>
          <w:tcPr>
            <w:tcW w:w="8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最小规模(HA)</w:t>
            </w:r>
          </w:p>
        </w:tc>
      </w:tr>
      <w:tr w:rsidR="00642D4D" w:rsidRPr="00642D4D" w:rsidTr="00642D4D">
        <w:tc>
          <w:tcPr>
            <w:tcW w:w="8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居住区公园</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花木草坪，花坛水面,凉亭雕，小卖茶座，老幼设施,停车场地和铺装地面</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园内布居应有明确的功能划分</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c>
          <w:tcPr>
            <w:tcW w:w="8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小游园</w:t>
            </w:r>
          </w:p>
        </w:tc>
        <w:tc>
          <w:tcPr>
            <w:tcW w:w="19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花木草坪，花坛水面， 雕塑,，儿童设施和铺装地面</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园内布居应有一定的功能划分</w:t>
            </w:r>
          </w:p>
        </w:tc>
        <w:tc>
          <w:tcPr>
            <w:tcW w:w="8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0．4</w:t>
            </w:r>
          </w:p>
        </w:tc>
      </w:tr>
      <w:tr w:rsidR="00642D4D" w:rsidRPr="00642D4D" w:rsidTr="00642D4D">
        <w:tc>
          <w:tcPr>
            <w:tcW w:w="85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组团绿地</w:t>
            </w:r>
          </w:p>
        </w:tc>
        <w:tc>
          <w:tcPr>
            <w:tcW w:w="19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花木草坪，桌椅，简易儿童设施等</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灵活布居</w:t>
            </w:r>
          </w:p>
        </w:tc>
        <w:tc>
          <w:tcPr>
            <w:tcW w:w="8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0．04</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 至少应有一个边与相应级别的道路相邻;</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(3)绿化面积(含水面)不宜小于70%;</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 道路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 居住区的道路规划，应遵循下列原则：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8.0.1.1根据地形、气候、用地规模和用地四周的环境条件、城市交通系统以及居民的出行方式，应选择经济、便捷的道路系统和道路断面形式;</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8.0.1.2 小区内应避免过境车辆的穿行，道路通而不畅、避免往返迂回，并适于消防车、救护车、商店货车和垃圾车等的通行;</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8.0.1.3有利于居住区内各类用地的划分和有机联系，以及建筑物布置的多样化;</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8.0.1.4当公共交通线路引入居住区级道路时，应减少交通噪声对居民的干扰;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8.0.1.5在地震烈度不低于六度的地区，应考虑防灾救灾要求;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8.0.1.6满足居住区的日照通风和地下工程管线的埋设要求;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8.0.1.7 城市旧区改建，其道路系统应充分考虑原有道路特点，保留和利用有历史文化价值的街道;</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8.0.1.8应便于居民汽车的通行;</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8.0.1.9(取消该款)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 居住区内道路可分为： 居住区道路、小区路、组团路和宅间小路四级。其道路宽度，应符合下列规定：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8.0.2.1居住区道路： 红线宽度不宜小于20M;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8.0.2.2 小区路： 路面宽6--9M，建筑控制线之间的宽度， 需敷设供热管线的不宜小于的不宜小于14M; 无供热管线的不宜小于的不宜小于10M;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8.0.2.3组团路： 路面宽3--5M;建筑控制线之间的宽度， 采暖区不宜小于10M; 非采暖区不宜小于8M;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8.0.2.4宅间小路： 路面宽不宜小于2.5M;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8.0.2.5在多雪地区，应考虑堆积清扫道路积雪的面积，道路宽度可酌情放宽，但应符合当地城市规划行政主管部门的有关规定。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8.0.3居住区内道路纵坡规定，应符合下列规定：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8.0.3.1居住区内道路纵坡控制指标应符合 表8.0.3 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表8.0.3 居住区内道路纵坡控制指标(%)</w:t>
      </w:r>
    </w:p>
    <w:tbl>
      <w:tblPr>
        <w:tblW w:w="5700" w:type="dxa"/>
        <w:tblInd w:w="-45" w:type="dxa"/>
        <w:tblCellMar>
          <w:left w:w="0" w:type="dxa"/>
          <w:right w:w="0" w:type="dxa"/>
        </w:tblCellMar>
        <w:tblLook w:val="04A0"/>
      </w:tblPr>
      <w:tblGrid>
        <w:gridCol w:w="1280"/>
        <w:gridCol w:w="1105"/>
        <w:gridCol w:w="1105"/>
        <w:gridCol w:w="2210"/>
      </w:tblGrid>
      <w:tr w:rsidR="00642D4D" w:rsidRPr="00642D4D" w:rsidTr="00642D4D">
        <w:tc>
          <w:tcPr>
            <w:tcW w:w="110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道路类别</w:t>
            </w:r>
          </w:p>
        </w:tc>
        <w:tc>
          <w:tcPr>
            <w:tcW w:w="9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最小纵坡</w:t>
            </w:r>
          </w:p>
        </w:tc>
        <w:tc>
          <w:tcPr>
            <w:tcW w:w="9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最大纵坡</w:t>
            </w:r>
          </w:p>
        </w:tc>
        <w:tc>
          <w:tcPr>
            <w:tcW w:w="190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多雪严寒地区最大纵坡</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机动车道</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≤8.0</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L≤200m</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≤5.0</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L≤600m</w:t>
            </w:r>
          </w:p>
        </w:tc>
      </w:tr>
      <w:tr w:rsidR="00642D4D" w:rsidRPr="00642D4D" w:rsidTr="00642D4D">
        <w:tc>
          <w:tcPr>
            <w:tcW w:w="11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lastRenderedPageBreak/>
              <w:t>非机动车道</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w:t>
            </w:r>
          </w:p>
        </w:tc>
        <w:tc>
          <w:tcPr>
            <w:tcW w:w="9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≤3.0</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L≤50m</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≤2.0</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L≤100m</w:t>
            </w:r>
          </w:p>
        </w:tc>
      </w:tr>
      <w:tr w:rsidR="00642D4D" w:rsidRPr="00642D4D" w:rsidTr="00642D4D">
        <w:tc>
          <w:tcPr>
            <w:tcW w:w="11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步行道</w:t>
            </w:r>
          </w:p>
        </w:tc>
        <w:tc>
          <w:tcPr>
            <w:tcW w:w="9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w:t>
            </w:r>
          </w:p>
        </w:tc>
        <w:tc>
          <w:tcPr>
            <w:tcW w:w="9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≤8.0</w:t>
            </w:r>
          </w:p>
        </w:tc>
        <w:tc>
          <w:tcPr>
            <w:tcW w:w="19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≤4.0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L为坡长(m)。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8.0.3.2机动车与非机动车混行的道路，其纵坡宜按非机动车道要求，或分段按非机动车道要求控制。</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8.0.4山区和丘陵地区的道路系统规划设计，应遵循下列原则：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8.0.4.1车行与人行宜分开设置自成系统;</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8.0.4.2 路网格式应因地制宜;</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8.0.4.3主要道路宜平缓;</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8.0.4.4 路面可酌情缩窄，但应安排必要的排水边沟和会车位，并应符合当地城市规划行政主管部门的有关规定。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8.0.5居住区内道路设置，应符合下列规定：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8.0.5.1 小区内主要道路至少应有两个出入口; 居住区内主要道路至少应有两个方向与外围道路相连; 机动车道对外出入口间距不应小于150m。沿街建筑物长度超过150m时，应设不小于4m×4m的消防车通道。人行出口间距不宜超过80m，当建筑物长度超过80m时，应在底层加设人行通道;</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8.0.5.2 居住区内道路与城市道路相接时，其交角不宜小于75°; 当居住区内道路坡度较大时，应设缓冲段与城市道路相接;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8.0.5.3进入组团的道路，既应方便居民出行和利于消防车、救护车的通行，又应维护院落的完整性和利于治安保卫;</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8.0.5.4在居住区内公共活动中心，应设置为残疾人通行的无障碍通道 。通行轮椅车的坡道宽度不应小于2. 5m，纵坡不应大于2.5%;</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8.0.5.5当居住区内尽端式道路的长度不宜大于120m， 并应在尽端设不小于12m×12m的回车场地;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8.0.5.6当居住区内用地坡度大于8%时，应辅以梯步解决竖向交通，并宜在梯步旁附设推行自行车的坡道;</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8.0.5.7在多雪严寒的山坡地区，居住区内道路路面应考虑防滑措施; 在地震设防地区，居住区内的主要道路，宜采用柔性路面;</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8.0.5.8居住区内道路边缘至建筑物、构筑物的最小距离，应符合 表8.0.5规定;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表8.0.5 道路边缘至建、构筑物最小距离(m)</w:t>
      </w:r>
    </w:p>
    <w:tbl>
      <w:tblPr>
        <w:tblW w:w="6825" w:type="dxa"/>
        <w:tblCellMar>
          <w:left w:w="0" w:type="dxa"/>
          <w:right w:w="0" w:type="dxa"/>
        </w:tblCellMar>
        <w:tblLook w:val="04A0"/>
      </w:tblPr>
      <w:tblGrid>
        <w:gridCol w:w="1159"/>
        <w:gridCol w:w="819"/>
        <w:gridCol w:w="956"/>
        <w:gridCol w:w="1160"/>
        <w:gridCol w:w="956"/>
        <w:gridCol w:w="1775"/>
      </w:tblGrid>
      <w:tr w:rsidR="00642D4D" w:rsidRPr="00642D4D" w:rsidTr="00642D4D">
        <w:tc>
          <w:tcPr>
            <w:tcW w:w="2150" w:type="pct"/>
            <w:gridSpan w:val="3"/>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lastRenderedPageBreak/>
              <w:t>道路级别</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与建、构筑物的关系</w:t>
            </w:r>
          </w:p>
        </w:tc>
        <w:tc>
          <w:tcPr>
            <w:tcW w:w="8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居住区道路</w:t>
            </w:r>
          </w:p>
        </w:tc>
        <w:tc>
          <w:tcPr>
            <w:tcW w:w="7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小区路</w:t>
            </w:r>
          </w:p>
        </w:tc>
        <w:tc>
          <w:tcPr>
            <w:tcW w:w="130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组团路及宅间小路</w:t>
            </w:r>
          </w:p>
        </w:tc>
      </w:tr>
      <w:tr w:rsidR="00642D4D" w:rsidRPr="00642D4D" w:rsidTr="00642D4D">
        <w:trPr>
          <w:cantSplit/>
          <w:trHeight w:val="375"/>
        </w:trPr>
        <w:tc>
          <w:tcPr>
            <w:tcW w:w="8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建筑物面向</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道路</w:t>
            </w:r>
          </w:p>
        </w:tc>
        <w:tc>
          <w:tcPr>
            <w:tcW w:w="6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无出入口</w:t>
            </w:r>
          </w:p>
        </w:tc>
        <w:tc>
          <w:tcPr>
            <w:tcW w:w="6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高层</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5.0</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r>
      <w:tr w:rsidR="00642D4D" w:rsidRPr="00642D4D" w:rsidTr="00642D4D">
        <w:trPr>
          <w:cantSplit/>
          <w:trHeight w:val="33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6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25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有出入口</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5.0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2．5</w:t>
            </w:r>
          </w:p>
        </w:tc>
      </w:tr>
      <w:tr w:rsidR="00642D4D" w:rsidRPr="00642D4D" w:rsidTr="00642D4D">
        <w:trPr>
          <w:cantSplit/>
          <w:trHeight w:val="420"/>
        </w:trPr>
        <w:tc>
          <w:tcPr>
            <w:tcW w:w="1450" w:type="pct"/>
            <w:gridSpan w:val="2"/>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建筑物山墙面</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向道路</w:t>
            </w:r>
          </w:p>
        </w:tc>
        <w:tc>
          <w:tcPr>
            <w:tcW w:w="6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高层</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4.0</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r>
      <w:tr w:rsidR="00642D4D" w:rsidRPr="00642D4D" w:rsidTr="00642D4D">
        <w:trPr>
          <w:cantSplit/>
          <w:trHeight w:val="315"/>
        </w:trPr>
        <w:tc>
          <w:tcPr>
            <w:tcW w:w="0" w:type="auto"/>
            <w:gridSpan w:val="2"/>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6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多层</w:t>
            </w:r>
          </w:p>
        </w:tc>
        <w:tc>
          <w:tcPr>
            <w:tcW w:w="8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r>
      <w:tr w:rsidR="00642D4D" w:rsidRPr="00642D4D" w:rsidTr="00642D4D">
        <w:tc>
          <w:tcPr>
            <w:tcW w:w="2150" w:type="pct"/>
            <w:gridSpan w:val="3"/>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围墙面向道路</w:t>
            </w:r>
          </w:p>
        </w:tc>
        <w:tc>
          <w:tcPr>
            <w:tcW w:w="8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7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13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居住道路的边缘指红线; 小区路、组团路及宅间小路的边缘指路面边线当小区路设有人行便道时，其道路边缘指便道边线。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8.0.5.9(取消该款)</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8.0.6居住区内必须配套设置居民汽车(含通勤车)停车场、停车库，并应符合下列规定：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8.0.6.1居民汽车停车场车率不应小于10%;</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8.0.6.2居住区内地面停车率(居住区内居民汽车的停车位数量于居民住户数的比率)不宜超过10%;</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8.0.6.3居民停车场、库的布置应方便居民使用，服务半径不宜大于150m;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8.0.6.4居民停车场、库的布置应留有必要的发展余地。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 竖向</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9.0.1居住区的竖向规划，应包括地形地貌的利用、确定道路控制高程和地面排水规划等内容。</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9.0.2居住区竖向设计，应遵循下列原则：</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9.0.2.1合理利用地形地貌，减少土方工程量;</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9.0.2.2各种场地的适用坡度，应符合 表9.0.1规定;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表9.0.1 各种场地的适用坡度(%)</w:t>
      </w:r>
    </w:p>
    <w:tbl>
      <w:tblPr>
        <w:tblW w:w="3390" w:type="dxa"/>
        <w:tblInd w:w="-45" w:type="dxa"/>
        <w:tblCellMar>
          <w:left w:w="0" w:type="dxa"/>
          <w:right w:w="0" w:type="dxa"/>
        </w:tblCellMar>
        <w:tblLook w:val="04A0"/>
      </w:tblPr>
      <w:tblGrid>
        <w:gridCol w:w="2089"/>
        <w:gridCol w:w="1301"/>
      </w:tblGrid>
      <w:tr w:rsidR="00642D4D" w:rsidRPr="00642D4D" w:rsidTr="00642D4D">
        <w:tc>
          <w:tcPr>
            <w:tcW w:w="30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场地名称</w:t>
            </w:r>
          </w:p>
        </w:tc>
        <w:tc>
          <w:tcPr>
            <w:tcW w:w="190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适用坡度</w:t>
            </w:r>
          </w:p>
        </w:tc>
      </w:tr>
      <w:tr w:rsidR="00642D4D" w:rsidRPr="00642D4D" w:rsidTr="00642D4D">
        <w:tc>
          <w:tcPr>
            <w:tcW w:w="30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密实性地面和广场</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0．3~3．0</w:t>
            </w:r>
          </w:p>
        </w:tc>
      </w:tr>
      <w:tr w:rsidR="00642D4D" w:rsidRPr="00642D4D" w:rsidTr="00642D4D">
        <w:tc>
          <w:tcPr>
            <w:tcW w:w="30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lastRenderedPageBreak/>
              <w:t>广场兼停车场</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0．2~0．5</w:t>
            </w:r>
          </w:p>
        </w:tc>
      </w:tr>
      <w:tr w:rsidR="00642D4D" w:rsidRPr="00642D4D" w:rsidTr="00642D4D">
        <w:tc>
          <w:tcPr>
            <w:tcW w:w="30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室外场地 ：</w:t>
            </w:r>
          </w:p>
          <w:p w:rsidR="00642D4D" w:rsidRPr="00642D4D" w:rsidRDefault="00642D4D" w:rsidP="00642D4D">
            <w:pPr>
              <w:widowControl/>
              <w:spacing w:before="100" w:beforeAutospacing="1" w:after="100" w:afterAutospacing="1"/>
              <w:ind w:hanging="360"/>
              <w:jc w:val="center"/>
              <w:rPr>
                <w:rFonts w:ascii="宋体" w:eastAsia="宋体" w:hAnsi="宋体" w:cs="宋体"/>
                <w:kern w:val="0"/>
                <w:sz w:val="15"/>
                <w:szCs w:val="15"/>
              </w:rPr>
            </w:pPr>
            <w:r w:rsidRPr="00642D4D">
              <w:rPr>
                <w:rFonts w:ascii="宋体" w:eastAsia="宋体" w:hAnsi="宋体" w:cs="宋体"/>
                <w:kern w:val="0"/>
                <w:sz w:val="15"/>
                <w:szCs w:val="15"/>
              </w:rPr>
              <w:t>1.</w:t>
            </w:r>
            <w:r w:rsidRPr="00642D4D">
              <w:rPr>
                <w:rFonts w:ascii="Times New Roman" w:eastAsia="宋体" w:hAnsi="Times New Roman" w:cs="Times New Roman"/>
                <w:kern w:val="0"/>
                <w:sz w:val="15"/>
                <w:szCs w:val="15"/>
              </w:rPr>
              <w:t>   </w:t>
            </w:r>
            <w:r w:rsidRPr="00642D4D">
              <w:rPr>
                <w:rFonts w:ascii="宋体" w:eastAsia="宋体" w:hAnsi="宋体" w:cs="宋体"/>
                <w:kern w:val="0"/>
                <w:sz w:val="15"/>
                <w:szCs w:val="15"/>
              </w:rPr>
              <w:t>儿童游戏场</w:t>
            </w:r>
          </w:p>
          <w:p w:rsidR="00642D4D" w:rsidRPr="00642D4D" w:rsidRDefault="00642D4D" w:rsidP="00642D4D">
            <w:pPr>
              <w:widowControl/>
              <w:spacing w:before="100" w:beforeAutospacing="1" w:after="100" w:afterAutospacing="1"/>
              <w:ind w:hanging="360"/>
              <w:jc w:val="center"/>
              <w:rPr>
                <w:rFonts w:ascii="宋体" w:eastAsia="宋体" w:hAnsi="宋体" w:cs="宋体"/>
                <w:kern w:val="0"/>
                <w:sz w:val="15"/>
                <w:szCs w:val="15"/>
              </w:rPr>
            </w:pPr>
            <w:r w:rsidRPr="00642D4D">
              <w:rPr>
                <w:rFonts w:ascii="宋体" w:eastAsia="宋体" w:hAnsi="宋体" w:cs="宋体"/>
                <w:kern w:val="0"/>
                <w:sz w:val="15"/>
                <w:szCs w:val="15"/>
              </w:rPr>
              <w:t>2.</w:t>
            </w:r>
            <w:r w:rsidRPr="00642D4D">
              <w:rPr>
                <w:rFonts w:ascii="Times New Roman" w:eastAsia="宋体" w:hAnsi="Times New Roman" w:cs="Times New Roman"/>
                <w:kern w:val="0"/>
                <w:sz w:val="15"/>
                <w:szCs w:val="15"/>
              </w:rPr>
              <w:t>   </w:t>
            </w:r>
            <w:r w:rsidRPr="00642D4D">
              <w:rPr>
                <w:rFonts w:ascii="宋体" w:eastAsia="宋体" w:hAnsi="宋体" w:cs="宋体"/>
                <w:kern w:val="0"/>
                <w:sz w:val="15"/>
                <w:szCs w:val="15"/>
              </w:rPr>
              <w:t>运动场</w:t>
            </w:r>
          </w:p>
          <w:p w:rsidR="00642D4D" w:rsidRPr="00642D4D" w:rsidRDefault="00642D4D" w:rsidP="00642D4D">
            <w:pPr>
              <w:widowControl/>
              <w:spacing w:before="100" w:beforeAutospacing="1" w:after="100" w:afterAutospacing="1"/>
              <w:ind w:hanging="360"/>
              <w:jc w:val="center"/>
              <w:rPr>
                <w:rFonts w:ascii="宋体" w:eastAsia="宋体" w:hAnsi="宋体" w:cs="宋体"/>
                <w:kern w:val="0"/>
                <w:sz w:val="15"/>
                <w:szCs w:val="15"/>
              </w:rPr>
            </w:pPr>
            <w:r w:rsidRPr="00642D4D">
              <w:rPr>
                <w:rFonts w:ascii="宋体" w:eastAsia="宋体" w:hAnsi="宋体" w:cs="宋体"/>
                <w:kern w:val="0"/>
                <w:sz w:val="15"/>
                <w:szCs w:val="15"/>
              </w:rPr>
              <w:t>3.</w:t>
            </w:r>
            <w:r w:rsidRPr="00642D4D">
              <w:rPr>
                <w:rFonts w:ascii="Times New Roman" w:eastAsia="宋体" w:hAnsi="Times New Roman" w:cs="Times New Roman"/>
                <w:kern w:val="0"/>
                <w:sz w:val="15"/>
                <w:szCs w:val="15"/>
              </w:rPr>
              <w:t>   </w:t>
            </w:r>
            <w:r w:rsidRPr="00642D4D">
              <w:rPr>
                <w:rFonts w:ascii="宋体" w:eastAsia="宋体" w:hAnsi="宋体" w:cs="宋体"/>
                <w:kern w:val="0"/>
                <w:sz w:val="15"/>
                <w:szCs w:val="15"/>
              </w:rPr>
              <w:t>杂用场地</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0．3~2．5</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0．2~0．.5</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0．3~2．9</w:t>
            </w:r>
          </w:p>
        </w:tc>
      </w:tr>
      <w:tr w:rsidR="00642D4D" w:rsidRPr="00642D4D" w:rsidTr="00642D4D">
        <w:tc>
          <w:tcPr>
            <w:tcW w:w="30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绿地</w:t>
            </w:r>
          </w:p>
        </w:tc>
        <w:tc>
          <w:tcPr>
            <w:tcW w:w="19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0．5~1．0</w:t>
            </w:r>
          </w:p>
        </w:tc>
      </w:tr>
      <w:tr w:rsidR="00642D4D" w:rsidRPr="00642D4D" w:rsidTr="00642D4D">
        <w:tc>
          <w:tcPr>
            <w:tcW w:w="305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湿陷性黄土地面</w:t>
            </w:r>
          </w:p>
        </w:tc>
        <w:tc>
          <w:tcPr>
            <w:tcW w:w="19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0．5~7．0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9.0.2.3 满足水管线的埋设要求;</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9.0.2.4 避免土壤受冲刷;</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9.0.2.5 有利于建筑布置与空间环境的设计;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9.0.2.6对外联系道路的高程应与城市道路标高相衔接。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9.0.3当自然地形坡度大于8%，居住区地面连接形式宜选用台地式，台地之间应用挡土墙或护坡连接。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9.0.4居住区内地面水的排水系统，应根据地形特点设计。在山区和丘陵地区还必须考虑排洪要求。地面水排水方式的选择，应符合以下规定：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9.0.4.1居住区内应采用暗沟(管)排除地面水;</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9.0.4.2 在埋设地下暗沟(管)极不经济的陡坎、岩石地段，或在山坡冲刷严重，管沟易堵塞的地段，可采用明沟排水。</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 管线综合</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10.0.1居住区内应设置给水、污水、雨水和电力管线。 在采用集中供热居住区内还应设置供热管线。同时，还应考虑煤气、通讯、电视公用天线、闭路电视、智能化等管线的设置或预留埋设位置。</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10.0.2居住区内各类管线的设置，应编制管线综合规划确定， 并应符合下列规定：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10.0.2.1 必须与城市管线衔接;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10.0.2.2 应根据各类管线的不同特性和设置要求综合布置。 各类管线相互间的水平与垂直净距，宜符合 表10.0.2-1和 表10.0.2-2的规定;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表10.0.2-1 各种地下管线之间最小水平净距(m)</w:t>
      </w:r>
    </w:p>
    <w:tbl>
      <w:tblPr>
        <w:tblW w:w="7875" w:type="dxa"/>
        <w:tblCellMar>
          <w:left w:w="0" w:type="dxa"/>
          <w:right w:w="0" w:type="dxa"/>
        </w:tblCellMar>
        <w:tblLook w:val="04A0"/>
      </w:tblPr>
      <w:tblGrid>
        <w:gridCol w:w="788"/>
        <w:gridCol w:w="551"/>
        <w:gridCol w:w="866"/>
        <w:gridCol w:w="866"/>
        <w:gridCol w:w="630"/>
        <w:gridCol w:w="630"/>
        <w:gridCol w:w="630"/>
        <w:gridCol w:w="866"/>
        <w:gridCol w:w="709"/>
        <w:gridCol w:w="709"/>
        <w:gridCol w:w="630"/>
      </w:tblGrid>
      <w:tr w:rsidR="00642D4D" w:rsidRPr="00642D4D" w:rsidTr="00642D4D">
        <w:trPr>
          <w:cantSplit/>
        </w:trPr>
        <w:tc>
          <w:tcPr>
            <w:tcW w:w="850" w:type="pct"/>
            <w:gridSpan w:val="2"/>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lastRenderedPageBreak/>
              <w:t>管线名称</w:t>
            </w:r>
          </w:p>
        </w:tc>
        <w:tc>
          <w:tcPr>
            <w:tcW w:w="5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给水管</w:t>
            </w:r>
          </w:p>
        </w:tc>
        <w:tc>
          <w:tcPr>
            <w:tcW w:w="5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排水管</w:t>
            </w:r>
          </w:p>
        </w:tc>
        <w:tc>
          <w:tcPr>
            <w:tcW w:w="1200" w:type="pct"/>
            <w:gridSpan w:val="3"/>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煤气管③</w:t>
            </w:r>
          </w:p>
        </w:tc>
        <w:tc>
          <w:tcPr>
            <w:tcW w:w="5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热力管</w:t>
            </w:r>
          </w:p>
        </w:tc>
        <w:tc>
          <w:tcPr>
            <w:tcW w:w="4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电力</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电缆</w:t>
            </w:r>
          </w:p>
        </w:tc>
        <w:tc>
          <w:tcPr>
            <w:tcW w:w="4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电信</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电缆</w:t>
            </w:r>
          </w:p>
        </w:tc>
        <w:tc>
          <w:tcPr>
            <w:tcW w:w="400" w:type="pct"/>
            <w:vMerge w:val="restar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电信</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管道</w:t>
            </w:r>
          </w:p>
        </w:tc>
      </w:tr>
      <w:tr w:rsidR="00642D4D" w:rsidRPr="00642D4D" w:rsidTr="00642D4D">
        <w:trPr>
          <w:cantSplit/>
        </w:trPr>
        <w:tc>
          <w:tcPr>
            <w:tcW w:w="0" w:type="auto"/>
            <w:gridSpan w:val="2"/>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低压</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中压</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高压</w:t>
            </w: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double" w:sz="6"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r>
      <w:tr w:rsidR="00642D4D" w:rsidRPr="00642D4D" w:rsidTr="00642D4D">
        <w:tc>
          <w:tcPr>
            <w:tcW w:w="8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排水管</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Pr>
        <w:tc>
          <w:tcPr>
            <w:tcW w:w="50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煤</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气</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管</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③</w:t>
            </w: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低压</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中压</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高压</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8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热力管</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8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电力电缆</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8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电信电缆</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850" w:type="pct"/>
            <w:gridSpan w:val="2"/>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电信管道</w:t>
            </w:r>
          </w:p>
        </w:tc>
        <w:tc>
          <w:tcPr>
            <w:tcW w:w="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4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1．2</w:t>
            </w:r>
          </w:p>
        </w:tc>
        <w:tc>
          <w:tcPr>
            <w:tcW w:w="4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0．2</w:t>
            </w:r>
          </w:p>
        </w:tc>
        <w:tc>
          <w:tcPr>
            <w:tcW w:w="4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①表中给水管与排水管之间的净距适用于管径小于或等于200MM， 当管径大于200MM时应大于或等于3.0M;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②大于或等于10KV的电力电缆与其它任何电力电缆之间应大于或等于0.25M,如加套管，净距可减至0.1M; 小于10KV 电力电缆之间应大于或等于0.1M;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③低压煤气管的压力为小于或等于0.005MPA，中压为0.005--0.3MPA,高压为0.3--0.8MPA。</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表10.0.2-2 各种地下管线之间最小垂直净距(m)</w:t>
      </w:r>
    </w:p>
    <w:tbl>
      <w:tblPr>
        <w:tblW w:w="7440" w:type="dxa"/>
        <w:tblInd w:w="-45" w:type="dxa"/>
        <w:tblCellMar>
          <w:left w:w="0" w:type="dxa"/>
          <w:right w:w="0" w:type="dxa"/>
        </w:tblCellMar>
        <w:tblLook w:val="04A0"/>
      </w:tblPr>
      <w:tblGrid>
        <w:gridCol w:w="1084"/>
        <w:gridCol w:w="930"/>
        <w:gridCol w:w="930"/>
        <w:gridCol w:w="930"/>
        <w:gridCol w:w="930"/>
        <w:gridCol w:w="930"/>
        <w:gridCol w:w="853"/>
        <w:gridCol w:w="853"/>
      </w:tblGrid>
      <w:tr w:rsidR="00642D4D" w:rsidRPr="00642D4D" w:rsidTr="00642D4D">
        <w:trPr>
          <w:trHeight w:val="1125"/>
        </w:trPr>
        <w:tc>
          <w:tcPr>
            <w:tcW w:w="70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管线名称</w:t>
            </w:r>
          </w:p>
        </w:tc>
        <w:tc>
          <w:tcPr>
            <w:tcW w:w="6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给水管</w:t>
            </w:r>
          </w:p>
        </w:tc>
        <w:tc>
          <w:tcPr>
            <w:tcW w:w="6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排水管</w:t>
            </w:r>
          </w:p>
        </w:tc>
        <w:tc>
          <w:tcPr>
            <w:tcW w:w="6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燃气管</w:t>
            </w:r>
          </w:p>
        </w:tc>
        <w:tc>
          <w:tcPr>
            <w:tcW w:w="6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热力管</w:t>
            </w:r>
          </w:p>
        </w:tc>
        <w:tc>
          <w:tcPr>
            <w:tcW w:w="60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电力</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电缆</w:t>
            </w:r>
          </w:p>
        </w:tc>
        <w:tc>
          <w:tcPr>
            <w:tcW w:w="5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电信</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电缆</w:t>
            </w:r>
          </w:p>
        </w:tc>
        <w:tc>
          <w:tcPr>
            <w:tcW w:w="5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电信</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管道</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给水管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排水管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0．40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燃气管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热力管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电力电缆</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电信电缆</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0．50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0．25</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0．25</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电信管道</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 50</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0．25</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0．25</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lastRenderedPageBreak/>
              <w:t>明沟沟底</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r>
      <w:tr w:rsidR="00642D4D" w:rsidRPr="00642D4D" w:rsidTr="00642D4D">
        <w:tc>
          <w:tcPr>
            <w:tcW w:w="7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涵洞基底</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0．15</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0．5</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w:t>
            </w:r>
          </w:p>
        </w:tc>
        <w:tc>
          <w:tcPr>
            <w:tcW w:w="5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0．25</w:t>
            </w:r>
          </w:p>
        </w:tc>
      </w:tr>
      <w:tr w:rsidR="00642D4D" w:rsidRPr="00642D4D" w:rsidTr="00642D4D">
        <w:tc>
          <w:tcPr>
            <w:tcW w:w="7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铁路轨底</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1．2</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1．2</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c>
          <w:tcPr>
            <w:tcW w:w="5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10.0.2.3宜采用地下敷设的方式。地下管线的走向， 宜沿道路或与主体建筑平行布置，并力求线型顺直、短捷和适当集中，尽量减少转弯，并应使管线之间尽量减少交叉;</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10.0.2.4应考虑不影响建筑物安全和防止管线受腐蚀、沉陷、 震动及重压。各种管线与建筑物和构筑物之间的最小水平间距，应符合 表10.0.2-3规定;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表10.0.2-3 各种管线与建、构筑物之间的最小水平间距(m)</w:t>
      </w:r>
    </w:p>
    <w:tbl>
      <w:tblPr>
        <w:tblW w:w="7035" w:type="dxa"/>
        <w:tblCellMar>
          <w:left w:w="0" w:type="dxa"/>
          <w:right w:w="0" w:type="dxa"/>
        </w:tblCellMar>
        <w:tblLook w:val="04A0"/>
      </w:tblPr>
      <w:tblGrid>
        <w:gridCol w:w="425"/>
        <w:gridCol w:w="497"/>
        <w:gridCol w:w="639"/>
        <w:gridCol w:w="1067"/>
        <w:gridCol w:w="853"/>
        <w:gridCol w:w="711"/>
        <w:gridCol w:w="853"/>
        <w:gridCol w:w="1137"/>
        <w:gridCol w:w="853"/>
      </w:tblGrid>
      <w:tr w:rsidR="00642D4D" w:rsidRPr="00642D4D" w:rsidTr="00642D4D">
        <w:trPr>
          <w:cantSplit/>
          <w:trHeight w:val="615"/>
        </w:trPr>
        <w:tc>
          <w:tcPr>
            <w:tcW w:w="650" w:type="pct"/>
            <w:gridSpan w:val="2"/>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45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建筑物</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基础</w:t>
            </w:r>
          </w:p>
        </w:tc>
        <w:tc>
          <w:tcPr>
            <w:tcW w:w="1850" w:type="pct"/>
            <w:gridSpan w:val="3"/>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地上杆柱</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(中心)</w:t>
            </w:r>
          </w:p>
        </w:tc>
        <w:tc>
          <w:tcPr>
            <w:tcW w:w="6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铁路</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(中心)</w:t>
            </w:r>
          </w:p>
        </w:tc>
        <w:tc>
          <w:tcPr>
            <w:tcW w:w="8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城市道路</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侧石边缘</w:t>
            </w:r>
          </w:p>
        </w:tc>
        <w:tc>
          <w:tcPr>
            <w:tcW w:w="600" w:type="pct"/>
            <w:vMerge w:val="restar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公路</w:t>
            </w:r>
          </w:p>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边缘</w:t>
            </w:r>
          </w:p>
        </w:tc>
      </w:tr>
      <w:tr w:rsidR="00642D4D" w:rsidRPr="00642D4D" w:rsidTr="00642D4D">
        <w:trPr>
          <w:cantSplit/>
          <w:trHeight w:val="360"/>
        </w:trPr>
        <w:tc>
          <w:tcPr>
            <w:tcW w:w="0" w:type="auto"/>
            <w:gridSpan w:val="2"/>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通信、照明及&lt;10kv</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≤35kv</w:t>
            </w:r>
          </w:p>
        </w:tc>
        <w:tc>
          <w:tcPr>
            <w:tcW w:w="5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&gt;35kv</w:t>
            </w: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double" w:sz="6" w:space="0" w:color="000000"/>
              <w:left w:val="outset" w:sz="6" w:space="0" w:color="ECE9D8"/>
              <w:bottom w:val="single" w:sz="8" w:space="0" w:color="000000"/>
              <w:right w:val="double" w:sz="6"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r>
      <w:tr w:rsidR="00642D4D" w:rsidRPr="00642D4D" w:rsidTr="00642D4D">
        <w:tc>
          <w:tcPr>
            <w:tcW w:w="6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给水管</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3．0</w:t>
            </w: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11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3．00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5．0</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c>
          <w:tcPr>
            <w:tcW w:w="6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排水管</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2．5</w:t>
            </w: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11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5．0</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rPr>
          <w:cantSplit/>
        </w:trPr>
        <w:tc>
          <w:tcPr>
            <w:tcW w:w="30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煤气管</w:t>
            </w: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低压</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1．50</w:t>
            </w:r>
          </w:p>
        </w:tc>
        <w:tc>
          <w:tcPr>
            <w:tcW w:w="75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1．00</w:t>
            </w:r>
          </w:p>
        </w:tc>
        <w:tc>
          <w:tcPr>
            <w:tcW w:w="6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1．00</w:t>
            </w:r>
          </w:p>
        </w:tc>
        <w:tc>
          <w:tcPr>
            <w:tcW w:w="5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5．00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中压</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2．00</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rPr>
          <w:cantSplit/>
          <w:trHeight w:val="48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3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高压</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4．00</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宋体" w:eastAsia="宋体" w:hAnsi="宋体" w:cs="宋体"/>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5．0</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2．50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rPr>
          <w:cantSplit/>
          <w:trHeight w:val="180"/>
        </w:trPr>
        <w:tc>
          <w:tcPr>
            <w:tcW w:w="650" w:type="pct"/>
            <w:gridSpan w:val="2"/>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热力管</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直埋2.5</w:t>
            </w:r>
          </w:p>
        </w:tc>
        <w:tc>
          <w:tcPr>
            <w:tcW w:w="75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1.00</w:t>
            </w:r>
          </w:p>
        </w:tc>
        <w:tc>
          <w:tcPr>
            <w:tcW w:w="6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2.00</w:t>
            </w:r>
          </w:p>
        </w:tc>
        <w:tc>
          <w:tcPr>
            <w:tcW w:w="5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3.00</w:t>
            </w:r>
          </w:p>
        </w:tc>
        <w:tc>
          <w:tcPr>
            <w:tcW w:w="6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vMerge w:val="restar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1．00</w:t>
            </w:r>
          </w:p>
        </w:tc>
      </w:tr>
      <w:tr w:rsidR="00642D4D" w:rsidRPr="00642D4D" w:rsidTr="00642D4D">
        <w:trPr>
          <w:cantSplit/>
          <w:trHeight w:val="180"/>
        </w:trPr>
        <w:tc>
          <w:tcPr>
            <w:tcW w:w="0" w:type="auto"/>
            <w:gridSpan w:val="2"/>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地沟0.5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0" w:type="auto"/>
            <w:vMerge/>
            <w:tcBorders>
              <w:top w:val="outset" w:sz="6" w:space="0" w:color="ECE9D8"/>
              <w:left w:val="outset" w:sz="6" w:space="0" w:color="ECE9D8"/>
              <w:bottom w:val="single" w:sz="8" w:space="0" w:color="000000"/>
              <w:right w:val="double" w:sz="6"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r>
      <w:tr w:rsidR="00642D4D" w:rsidRPr="00642D4D" w:rsidTr="00642D4D">
        <w:tc>
          <w:tcPr>
            <w:tcW w:w="6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电力电缆</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0．60</w:t>
            </w: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0.60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0．6</w:t>
            </w:r>
          </w:p>
        </w:tc>
        <w:tc>
          <w:tcPr>
            <w:tcW w:w="5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0．6</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1．00</w:t>
            </w:r>
          </w:p>
        </w:tc>
      </w:tr>
      <w:tr w:rsidR="00642D4D" w:rsidRPr="00642D4D" w:rsidTr="00642D4D">
        <w:tc>
          <w:tcPr>
            <w:tcW w:w="650" w:type="pct"/>
            <w:gridSpan w:val="2"/>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电信电缆</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0．60</w:t>
            </w:r>
          </w:p>
        </w:tc>
        <w:tc>
          <w:tcPr>
            <w:tcW w:w="7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0.50</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0．6</w:t>
            </w:r>
          </w:p>
        </w:tc>
        <w:tc>
          <w:tcPr>
            <w:tcW w:w="5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0．6</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1．00</w:t>
            </w:r>
          </w:p>
        </w:tc>
      </w:tr>
      <w:tr w:rsidR="00642D4D" w:rsidRPr="00642D4D" w:rsidTr="00642D4D">
        <w:tc>
          <w:tcPr>
            <w:tcW w:w="650" w:type="pct"/>
            <w:gridSpan w:val="2"/>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电信管道</w:t>
            </w:r>
          </w:p>
        </w:tc>
        <w:tc>
          <w:tcPr>
            <w:tcW w:w="4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7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1.00</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w:t>
            </w:r>
          </w:p>
        </w:tc>
        <w:tc>
          <w:tcPr>
            <w:tcW w:w="5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1．0</w:t>
            </w: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3.75</w:t>
            </w:r>
          </w:p>
        </w:tc>
        <w:tc>
          <w:tcPr>
            <w:tcW w:w="8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1．50</w:t>
            </w:r>
          </w:p>
        </w:tc>
        <w:tc>
          <w:tcPr>
            <w:tcW w:w="6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1．00</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①表中给水管与城市道路侧石边缘的水平间距1. 0m适用于管径小于或等于200mm，当管径大于200mm时应大于或等于1. 5m;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②表中给水管与围墙或篱笆的水平间距1. 5m 是适用于管径小于或等于200mm，当管径大于200mm时应大于或等于2. 5m;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③排水管与建筑物基础的水平间距，当埋深浅于建筑物基础时应大于或等于2. 5m;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④表中热力管与建筑物基础的最小水平间距对于管沟敷设的热力管道为0. 5M，对于直埋闭式热力管道管径小于或等于250mm时为2. 5m， 管径大于或等于300mm时为3. 0m，对于直埋开式热力管道为5. 0m。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10.0.2.5各种管线的埋设顺序应符合下列规定：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(1)离建筑物的水平排序，由近及远宜为：电力管线或电信管线、燃气管、热力管、给水管、雨水管、污水管;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(2)各类管线的垂直排序，由浅入深宜为： 电信管线、 热力管、 小于10KV电力电缆、大于10KV电力电缆、燃气管、给水管、雨水管、污水管。</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10.0.2.6 电力电缆与电信管缆宜远离， 并按照电力电缆在道路东侧或南侧、电信电缆在道路西侧或北侧的原则布置;</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10.0.2.7管线之间遇到矛盾时，应按下列原则处理：</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(1)临时管线避让永久管线;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(2)小管线避让大管线;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(3)压力管线避让重力自流管线;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(4)可弯曲管线避让不可弯曲管线。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10.0.2.8地下管线不宜横穿公共绿地和庭院绿地。 与绿化树种间的最小水平净距，宜符合 表10.0.2-4中的规定。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表10.0.2-4 管线与绿化树种间的最小水平净距(m)</w:t>
      </w:r>
    </w:p>
    <w:tbl>
      <w:tblPr>
        <w:tblW w:w="5460" w:type="dxa"/>
        <w:tblCellMar>
          <w:left w:w="0" w:type="dxa"/>
          <w:right w:w="0" w:type="dxa"/>
        </w:tblCellMar>
        <w:tblLook w:val="04A0"/>
      </w:tblPr>
      <w:tblGrid>
        <w:gridCol w:w="2620"/>
        <w:gridCol w:w="1420"/>
        <w:gridCol w:w="1420"/>
      </w:tblGrid>
      <w:tr w:rsidR="00642D4D" w:rsidRPr="00642D4D" w:rsidTr="00642D4D">
        <w:trPr>
          <w:cantSplit/>
        </w:trPr>
        <w:tc>
          <w:tcPr>
            <w:tcW w:w="240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管 线 名 称</w:t>
            </w:r>
          </w:p>
        </w:tc>
        <w:tc>
          <w:tcPr>
            <w:tcW w:w="2600" w:type="pct"/>
            <w:gridSpan w:val="2"/>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caps/>
                <w:kern w:val="0"/>
                <w:sz w:val="15"/>
                <w:szCs w:val="15"/>
              </w:rPr>
              <w:t>最小水平净距</w:t>
            </w:r>
          </w:p>
        </w:tc>
      </w:tr>
      <w:tr w:rsidR="00642D4D" w:rsidRPr="00642D4D" w:rsidTr="00642D4D">
        <w:trPr>
          <w:cantSplit/>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至乔木中心</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至灌木中心</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给水管、闸井</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污水管、雨水管、探井</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煤气管探井</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1.2</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1.2</w:t>
            </w:r>
          </w:p>
        </w:tc>
      </w:tr>
      <w:tr w:rsidR="00642D4D" w:rsidRPr="00642D4D" w:rsidTr="00642D4D">
        <w:trPr>
          <w:trHeight w:val="210"/>
        </w:trPr>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电力电缆、电信电缆</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1.0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rPr>
          <w:trHeight w:val="135"/>
        </w:trPr>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3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电信管道</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3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3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1.0</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热力管</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1.5</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地上杆柱</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2.0</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2.0</w:t>
            </w:r>
          </w:p>
        </w:tc>
      </w:tr>
      <w:tr w:rsidR="00642D4D" w:rsidRPr="00642D4D" w:rsidTr="00642D4D">
        <w:tc>
          <w:tcPr>
            <w:tcW w:w="240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lastRenderedPageBreak/>
              <w:t>消防龙头</w:t>
            </w:r>
          </w:p>
        </w:tc>
        <w:tc>
          <w:tcPr>
            <w:tcW w:w="13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1.5</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1.2</w:t>
            </w:r>
          </w:p>
        </w:tc>
      </w:tr>
      <w:tr w:rsidR="00642D4D" w:rsidRPr="00642D4D" w:rsidTr="00642D4D">
        <w:tc>
          <w:tcPr>
            <w:tcW w:w="240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道路侧石边缘</w:t>
            </w:r>
          </w:p>
        </w:tc>
        <w:tc>
          <w:tcPr>
            <w:tcW w:w="13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u w:val="single"/>
              </w:rPr>
              <w:t>0.5</w:t>
            </w:r>
          </w:p>
        </w:tc>
        <w:tc>
          <w:tcPr>
            <w:tcW w:w="13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jc w:val="center"/>
              <w:rPr>
                <w:rFonts w:ascii="宋体" w:eastAsia="宋体" w:hAnsi="宋体" w:cs="宋体"/>
                <w:kern w:val="0"/>
                <w:sz w:val="15"/>
                <w:szCs w:val="15"/>
              </w:rPr>
            </w:pPr>
            <w:r w:rsidRPr="00642D4D">
              <w:rPr>
                <w:rFonts w:ascii="宋体" w:eastAsia="宋体" w:hAnsi="宋体" w:cs="宋体"/>
                <w:kern w:val="0"/>
                <w:sz w:val="15"/>
                <w:szCs w:val="15"/>
              </w:rPr>
              <w:t>0.5</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 综合技术经济指标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11.0.1居住区综合技术经济指标的项目应包括必要指标和可选用指标两类，其项目及计量单位应符合 表11.0.1规定。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综合技术经济指标系列一览表表11.0.1</w:t>
      </w:r>
    </w:p>
    <w:tbl>
      <w:tblPr>
        <w:tblW w:w="8048" w:type="dxa"/>
        <w:tblInd w:w="-29" w:type="dxa"/>
        <w:tblCellMar>
          <w:left w:w="0" w:type="dxa"/>
          <w:right w:w="0" w:type="dxa"/>
        </w:tblCellMar>
        <w:tblLook w:val="04A0"/>
      </w:tblPr>
      <w:tblGrid>
        <w:gridCol w:w="3090"/>
        <w:gridCol w:w="1200"/>
        <w:gridCol w:w="750"/>
        <w:gridCol w:w="1380"/>
        <w:gridCol w:w="1628"/>
      </w:tblGrid>
      <w:tr w:rsidR="00642D4D" w:rsidRPr="00642D4D" w:rsidTr="00642D4D">
        <w:trPr>
          <w:trHeight w:val="390"/>
        </w:trPr>
        <w:tc>
          <w:tcPr>
            <w:tcW w:w="3090" w:type="dxa"/>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项 目</w:t>
            </w:r>
          </w:p>
        </w:tc>
        <w:tc>
          <w:tcPr>
            <w:tcW w:w="1200" w:type="dxa"/>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计量单位</w:t>
            </w:r>
          </w:p>
        </w:tc>
        <w:tc>
          <w:tcPr>
            <w:tcW w:w="750" w:type="dxa"/>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数值</w:t>
            </w:r>
          </w:p>
        </w:tc>
        <w:tc>
          <w:tcPr>
            <w:tcW w:w="1380" w:type="dxa"/>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所占比重(%)</w:t>
            </w:r>
          </w:p>
        </w:tc>
        <w:tc>
          <w:tcPr>
            <w:tcW w:w="1628" w:type="dxa"/>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人均面积(M</w:t>
            </w:r>
            <w:r w:rsidRPr="00642D4D">
              <w:rPr>
                <w:rFonts w:ascii="宋体" w:eastAsia="宋体" w:hAnsi="宋体" w:cs="宋体"/>
                <w:caps/>
                <w:kern w:val="0"/>
                <w:sz w:val="15"/>
                <w:szCs w:val="15"/>
                <w:vertAlign w:val="superscript"/>
              </w:rPr>
              <w:t>2</w:t>
            </w:r>
            <w:r w:rsidRPr="00642D4D">
              <w:rPr>
                <w:rFonts w:ascii="宋体" w:eastAsia="宋体" w:hAnsi="宋体" w:cs="宋体"/>
                <w:caps/>
                <w:kern w:val="0"/>
                <w:sz w:val="15"/>
                <w:szCs w:val="15"/>
              </w:rPr>
              <w:t>人)</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居住区规划总用地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1.居住区用地(R)</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100</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ind w:hanging="360"/>
              <w:jc w:val="center"/>
              <w:rPr>
                <w:rFonts w:ascii="宋体" w:eastAsia="宋体" w:hAnsi="宋体" w:cs="宋体"/>
                <w:kern w:val="0"/>
                <w:sz w:val="15"/>
                <w:szCs w:val="15"/>
              </w:rPr>
            </w:pPr>
            <w:r w:rsidRPr="00642D4D">
              <w:rPr>
                <w:rFonts w:ascii="宋体" w:eastAsia="宋体" w:hAnsi="宋体" w:cs="宋体"/>
                <w:kern w:val="0"/>
                <w:sz w:val="15"/>
                <w:szCs w:val="15"/>
              </w:rPr>
              <w:t>①</w:t>
            </w:r>
            <w:r w:rsidRPr="00642D4D">
              <w:rPr>
                <w:rFonts w:ascii="宋体" w:eastAsia="宋体" w:hAnsi="宋体" w:cs="宋体"/>
                <w:kern w:val="0"/>
                <w:sz w:val="15"/>
                <w:szCs w:val="15"/>
              </w:rPr>
              <w:t> 宅用地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②公建用地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③道路用地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④公共绿地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2.其它用地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居住户（套）数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户（套）</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居住人数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人</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户均人口</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人/户</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1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总建筑面积</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1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1.居住区用地内建筑总面积</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100</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1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ind w:hanging="360"/>
              <w:jc w:val="center"/>
              <w:rPr>
                <w:rFonts w:ascii="宋体" w:eastAsia="宋体" w:hAnsi="宋体" w:cs="宋体"/>
                <w:kern w:val="0"/>
                <w:sz w:val="15"/>
                <w:szCs w:val="15"/>
              </w:rPr>
            </w:pPr>
            <w:r w:rsidRPr="00642D4D">
              <w:rPr>
                <w:rFonts w:ascii="宋体" w:eastAsia="宋体" w:hAnsi="宋体" w:cs="宋体"/>
                <w:kern w:val="0"/>
                <w:sz w:val="15"/>
                <w:szCs w:val="15"/>
              </w:rPr>
              <w:t>①</w:t>
            </w:r>
            <w:r w:rsidRPr="00642D4D">
              <w:rPr>
                <w:rFonts w:ascii="宋体" w:eastAsia="宋体" w:hAnsi="宋体" w:cs="宋体"/>
                <w:kern w:val="0"/>
                <w:sz w:val="15"/>
                <w:szCs w:val="15"/>
              </w:rPr>
              <w:t> 宅建筑面积</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1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②公建面积</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1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2.其它建筑面积</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住宅平均层数</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层</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高层住宅比例</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中高层住宅比例</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lastRenderedPageBreak/>
              <w:t>人口毛密度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人/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人口净密度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人/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住宅建筑套密度（毛）</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套/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住宅建筑套密度（净）</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套/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40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住宅建筑面积毛密度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2 </w:t>
            </w:r>
            <w:r w:rsidRPr="00642D4D">
              <w:rPr>
                <w:rFonts w:ascii="宋体" w:eastAsia="宋体" w:hAnsi="宋体" w:cs="宋体"/>
                <w:kern w:val="0"/>
                <w:sz w:val="15"/>
                <w:szCs w:val="15"/>
              </w:rPr>
              <w:t>/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40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住宅建筑面积净密度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2 </w:t>
            </w:r>
            <w:r w:rsidRPr="00642D4D">
              <w:rPr>
                <w:rFonts w:ascii="宋体" w:eastAsia="宋体" w:hAnsi="宋体" w:cs="宋体"/>
                <w:kern w:val="0"/>
                <w:sz w:val="15"/>
                <w:szCs w:val="15"/>
              </w:rPr>
              <w:t>/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40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居住区建筑面积毛密度（容积率）</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万m</w:t>
            </w:r>
            <w:r w:rsidRPr="00642D4D">
              <w:rPr>
                <w:rFonts w:ascii="宋体" w:eastAsia="宋体" w:hAnsi="宋体" w:cs="宋体"/>
                <w:kern w:val="0"/>
                <w:sz w:val="15"/>
                <w:szCs w:val="15"/>
                <w:vertAlign w:val="superscript"/>
              </w:rPr>
              <w:t>2 </w:t>
            </w:r>
            <w:r w:rsidRPr="00642D4D">
              <w:rPr>
                <w:rFonts w:ascii="宋体" w:eastAsia="宋体" w:hAnsi="宋体" w:cs="宋体"/>
                <w:kern w:val="0"/>
                <w:sz w:val="15"/>
                <w:szCs w:val="15"/>
              </w:rPr>
              <w:t>/ hm</w:t>
            </w:r>
            <w:r w:rsidRPr="00642D4D">
              <w:rPr>
                <w:rFonts w:ascii="宋体" w:eastAsia="宋体" w:hAnsi="宋体" w:cs="宋体"/>
                <w:kern w:val="0"/>
                <w:sz w:val="15"/>
                <w:szCs w:val="15"/>
                <w:vertAlign w:val="superscript"/>
              </w:rPr>
              <w:t>2</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停车率</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24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停车位</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辆</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r>
      <w:tr w:rsidR="00642D4D" w:rsidRPr="00642D4D" w:rsidTr="00642D4D">
        <w:trPr>
          <w:trHeight w:val="24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地面停车库</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r>
      <w:tr w:rsidR="00642D4D" w:rsidRPr="00642D4D" w:rsidTr="00642D4D">
        <w:trPr>
          <w:trHeight w:val="240"/>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地面停车位</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辆</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 </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住宅建筑净密度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总建筑密度</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195"/>
        </w:trPr>
        <w:tc>
          <w:tcPr>
            <w:tcW w:w="3090" w:type="dxa"/>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绿地率</w:t>
            </w:r>
          </w:p>
        </w:tc>
        <w:tc>
          <w:tcPr>
            <w:tcW w:w="120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9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trHeight w:val="450"/>
        </w:trPr>
        <w:tc>
          <w:tcPr>
            <w:tcW w:w="3090" w:type="dxa"/>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拆建比</w:t>
            </w:r>
          </w:p>
        </w:tc>
        <w:tc>
          <w:tcPr>
            <w:tcW w:w="1200" w:type="dxa"/>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750" w:type="dxa"/>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380" w:type="dxa"/>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1628" w:type="dxa"/>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 ▲必要指标; △选用指标</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11.0.2各项指标的计算，应符合下列规定：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11.0.2.1规划总用地范围应按下列规定确定：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(1)当规划总用地周界为城市道路、居住区(级)道路、 小区路或自然分界线时，用地范围划至道路中心线或自然分界线;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(2)当规划总用地与其它用地相邻，用地范围划至双方用地的交界处。</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11.0.2.2底层公建住宅或住宅公建综合楼用地面积应按下列规定确定：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(1)按住宅和公建各占该幢建筑总面积的比例分摊用地， 并分别计入住宅用地和公建用地;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 底层公建突出于上部住宅或占有专用院场或因公建需要后退红线的用地，均应计入公建用地。</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lastRenderedPageBreak/>
        <w:t xml:space="preserve">　　11.0.2.3底层架空建筑用地面积的确定， 应按底层及上部建筑的使用性质及其各占该幢建筑总建筑面积的比例分摊用地面积，并分别计入有关用地内;</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11.0.2.4绿地面积应按下列规定确定：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(1)宅旁(宅间)绿地面积计算的起止界应符合本规范附录A第A.0.2 条的规定： 绿地边界对宅间道路、组团路和小区路算到路边，当小区路设有人行便道时算到便道边，沿居住区路、城市道路则算到红线;距房屋墙脚1.5M; 对其它围墙、院墙算到墙脚;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(2)道路绿地面积计算，以道路红线内规划的绿地面积为准进行计算;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(3)院落式组团绿地面积计算起止界应符合本规范附录A第A.0.3 条的规定： 绿地边界距宅间路、组团路和小区路路边1M; 当小区路有人行便道时，算到人行便道边; 临城市道路、居住区级道路时算到道路红线; 距房屋墙脚1.5M;</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(4)开敞型院落组团绿地，应符合本规范表7.0.4-2要求; 至少有一个面 面向小区路，或向建筑控制线宽度不小于10M的组团级主路敞开，并向其开设绿地的主要出入口和满足本规范附录A第A.0.4 条的规定;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(5)其它块状、带状公共绿地面积计算的起止界同院落式组团绿地。 沿居住区(级)道路、城市道路的公共绿地算到红线。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11.0.2.5居住区用地内道路用地面积应按下列规定确定：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 按与居住人口规模相对应的同级道路及其以下各级道路计算用地面积，外围道路不计入;</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(2)居住区(级)道路，按红线宽度计算;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(3)小区路、组团路，按路面宽度计算。当小区路设有人行便道时， 人行便道计入道路用地面积;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(4)居民汽车停放场地， 按实际占地面积计算;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(5)宅间小路不计入道路用地面积。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11.0.2.6其它用地面积应按下列规定确定：</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(1)规划用地外围的道路算至外围道路的中心线;</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(2)规划用地范围内的其它用地，按实际占用面积计算。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11.0.2.7停车场车位数的确定以小型汽车为标准当量表示，其它各型车辆的停车位，应按 表11.0.2中相应的换算系数折算。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表11.0.2 各型车辆停车位换算系数</w:t>
      </w:r>
    </w:p>
    <w:tbl>
      <w:tblPr>
        <w:tblW w:w="4155" w:type="dxa"/>
        <w:tblInd w:w="-45" w:type="dxa"/>
        <w:tblCellMar>
          <w:left w:w="0" w:type="dxa"/>
          <w:right w:w="0" w:type="dxa"/>
        </w:tblCellMar>
        <w:tblLook w:val="04A0"/>
      </w:tblPr>
      <w:tblGrid>
        <w:gridCol w:w="3064"/>
        <w:gridCol w:w="1091"/>
      </w:tblGrid>
      <w:tr w:rsidR="00642D4D" w:rsidRPr="00642D4D" w:rsidTr="00642D4D">
        <w:tc>
          <w:tcPr>
            <w:tcW w:w="36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车型</w:t>
            </w:r>
          </w:p>
        </w:tc>
        <w:tc>
          <w:tcPr>
            <w:tcW w:w="130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换算系数</w:t>
            </w:r>
          </w:p>
        </w:tc>
      </w:tr>
      <w:tr w:rsidR="00642D4D" w:rsidRPr="00642D4D" w:rsidTr="00642D4D">
        <w:tc>
          <w:tcPr>
            <w:tcW w:w="36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微型客,货汽车机动三轮车</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0.7</w:t>
            </w:r>
          </w:p>
        </w:tc>
      </w:tr>
      <w:tr w:rsidR="00642D4D" w:rsidRPr="00642D4D" w:rsidTr="00642D4D">
        <w:tc>
          <w:tcPr>
            <w:tcW w:w="36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lastRenderedPageBreak/>
              <w:t>卧车,两吨以下货运汽车</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1.0</w:t>
            </w:r>
          </w:p>
        </w:tc>
      </w:tr>
      <w:tr w:rsidR="00642D4D" w:rsidRPr="00642D4D" w:rsidTr="00642D4D">
        <w:tc>
          <w:tcPr>
            <w:tcW w:w="3650" w:type="pc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中型客车,面包车,2t~4t货运汽车</w:t>
            </w:r>
          </w:p>
        </w:tc>
        <w:tc>
          <w:tcPr>
            <w:tcW w:w="13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2.0</w:t>
            </w:r>
          </w:p>
        </w:tc>
      </w:tr>
      <w:tr w:rsidR="00642D4D" w:rsidRPr="00642D4D" w:rsidTr="00642D4D">
        <w:tc>
          <w:tcPr>
            <w:tcW w:w="3650" w:type="pc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铰接车</w:t>
            </w:r>
          </w:p>
        </w:tc>
        <w:tc>
          <w:tcPr>
            <w:tcW w:w="13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3.5</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附表A.0.1 居住用地平衡表</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附表A.0.2 公共服务设施项目分级配建表</w:t>
      </w:r>
    </w:p>
    <w:tbl>
      <w:tblPr>
        <w:tblW w:w="8340" w:type="dxa"/>
        <w:tblInd w:w="-29" w:type="dxa"/>
        <w:tblCellMar>
          <w:left w:w="0" w:type="dxa"/>
          <w:right w:w="0" w:type="dxa"/>
        </w:tblCellMar>
        <w:tblLook w:val="04A0"/>
      </w:tblPr>
      <w:tblGrid>
        <w:gridCol w:w="1600"/>
        <w:gridCol w:w="4296"/>
        <w:gridCol w:w="926"/>
        <w:gridCol w:w="759"/>
        <w:gridCol w:w="759"/>
      </w:tblGrid>
      <w:tr w:rsidR="00642D4D" w:rsidRPr="00642D4D" w:rsidTr="00642D4D">
        <w:trPr>
          <w:trHeight w:val="630"/>
        </w:trPr>
        <w:tc>
          <w:tcPr>
            <w:tcW w:w="950" w:type="pc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类别</w:t>
            </w:r>
          </w:p>
        </w:tc>
        <w:tc>
          <w:tcPr>
            <w:tcW w:w="25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项目</w:t>
            </w:r>
          </w:p>
        </w:tc>
        <w:tc>
          <w:tcPr>
            <w:tcW w:w="5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居住区</w:t>
            </w:r>
          </w:p>
        </w:tc>
        <w:tc>
          <w:tcPr>
            <w:tcW w:w="450" w:type="pc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小区</w:t>
            </w:r>
          </w:p>
        </w:tc>
        <w:tc>
          <w:tcPr>
            <w:tcW w:w="450" w:type="pct"/>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caps/>
                <w:kern w:val="0"/>
                <w:sz w:val="15"/>
                <w:szCs w:val="15"/>
              </w:rPr>
              <w:t>组团</w:t>
            </w:r>
          </w:p>
        </w:tc>
      </w:tr>
      <w:tr w:rsidR="00642D4D" w:rsidRPr="00642D4D" w:rsidTr="00642D4D">
        <w:trPr>
          <w:cantSplit/>
          <w:trHeight w:val="270"/>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教</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育</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托儿所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33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幼儿园</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7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小学</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中学</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85"/>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医</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疗</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卫</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生</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医院(200~300床)</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门诊所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2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卫生站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2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护理院</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40"/>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文</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化</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体</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育</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文化活动中心(含青少年活动中心,老年活动中心)</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文化活动站(含青少年老年活动站)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居民运动场、馆</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2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居民健身设施（含老年户外活动场地）</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2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55"/>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商</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业</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服</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务</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综合食品店</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5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综合百货店</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7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餐饮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4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中西药店</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4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书店</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市场</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21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5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便民店</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25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其他第三产业设施</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金</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融</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邮</w:t>
            </w:r>
          </w:p>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电</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银行</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储蓄所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电信支局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邮电所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社</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区</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服</w:t>
            </w:r>
          </w:p>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务</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社区服务中心（含老年人服务中心）</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养老院</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托老所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残疾人托养中心</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治安联防站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居（里）委会（社区用房）</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物业管理</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9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市</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政</w:t>
            </w:r>
          </w:p>
          <w:p w:rsidR="00642D4D" w:rsidRPr="00642D4D" w:rsidRDefault="00642D4D" w:rsidP="00642D4D">
            <w:pPr>
              <w:widowControl/>
              <w:spacing w:before="100" w:beforeAutospacing="1" w:after="100" w:afterAutospacing="1"/>
              <w:jc w:val="center"/>
              <w:rPr>
                <w:rFonts w:ascii="宋体" w:eastAsia="宋体" w:hAnsi="宋体" w:cs="宋体"/>
                <w:kern w:val="0"/>
                <w:sz w:val="15"/>
                <w:szCs w:val="15"/>
              </w:rPr>
            </w:pPr>
            <w:r w:rsidRPr="00642D4D">
              <w:rPr>
                <w:rFonts w:ascii="宋体" w:eastAsia="宋体" w:hAnsi="宋体" w:cs="宋体"/>
                <w:kern w:val="0"/>
                <w:sz w:val="15"/>
                <w:szCs w:val="15"/>
              </w:rPr>
              <w:t>公</w:t>
            </w:r>
          </w:p>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用</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供热站或热交换站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变电室</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开闭所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路灯配电室</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燃气调压站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高压水泵房</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公共厕所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垃圾转运站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垃圾收集点</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居民存车处</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居民停车场、库</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公交始末站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消防站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燃料供应站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5"/>
        </w:trPr>
        <w:tc>
          <w:tcPr>
            <w:tcW w:w="950" w:type="pct"/>
            <w:vMerge w:val="restar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行政管理及其他</w:t>
            </w: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街道办事处</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5"/>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市政管理机构（所）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5"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8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派出所</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w:t>
            </w:r>
          </w:p>
        </w:tc>
      </w:tr>
      <w:tr w:rsidR="00642D4D" w:rsidRPr="00642D4D" w:rsidTr="00642D4D">
        <w:trPr>
          <w:cantSplit/>
          <w:trHeight w:val="18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其他管理用房</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c>
          <w:tcPr>
            <w:tcW w:w="45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u w:val="single"/>
              </w:rPr>
              <w:t>---</w:t>
            </w:r>
          </w:p>
        </w:tc>
      </w:tr>
      <w:tr w:rsidR="00642D4D" w:rsidRPr="00642D4D" w:rsidTr="00642D4D">
        <w:trPr>
          <w:cantSplit/>
          <w:trHeight w:val="18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宋体" w:eastAsia="宋体" w:hAnsi="宋体" w:cs="宋体"/>
                <w:kern w:val="0"/>
                <w:sz w:val="15"/>
                <w:szCs w:val="15"/>
              </w:rPr>
            </w:pPr>
          </w:p>
        </w:tc>
        <w:tc>
          <w:tcPr>
            <w:tcW w:w="2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防空地下室</w:t>
            </w:r>
          </w:p>
        </w:tc>
        <w:tc>
          <w:tcPr>
            <w:tcW w:w="5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△②</w:t>
            </w:r>
          </w:p>
        </w:tc>
        <w:tc>
          <w:tcPr>
            <w:tcW w:w="45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△②</w:t>
            </w:r>
          </w:p>
        </w:tc>
        <w:tc>
          <w:tcPr>
            <w:tcW w:w="45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before="100" w:beforeAutospacing="1" w:after="100" w:afterAutospacing="1" w:line="180" w:lineRule="atLeast"/>
              <w:jc w:val="center"/>
              <w:rPr>
                <w:rFonts w:ascii="宋体" w:eastAsia="宋体" w:hAnsi="宋体" w:cs="宋体"/>
                <w:kern w:val="0"/>
                <w:sz w:val="15"/>
                <w:szCs w:val="15"/>
              </w:rPr>
            </w:pPr>
            <w:r w:rsidRPr="00642D4D">
              <w:rPr>
                <w:rFonts w:ascii="宋体" w:eastAsia="宋体" w:hAnsi="宋体" w:cs="宋体"/>
                <w:kern w:val="0"/>
                <w:sz w:val="15"/>
                <w:szCs w:val="15"/>
              </w:rPr>
              <w:t>△②</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注：①▲为应配建的项目;△为宜设置的项目。</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②在国家确定的一、二类人防重点城市，应按人防有关规定配建防空地下室。</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附表A.0.3 公共服务设施各项目的设置规定</w:t>
      </w:r>
    </w:p>
    <w:tbl>
      <w:tblPr>
        <w:tblW w:w="9870" w:type="dxa"/>
        <w:tblCellMar>
          <w:left w:w="0" w:type="dxa"/>
          <w:right w:w="0" w:type="dxa"/>
        </w:tblCellMar>
        <w:tblLook w:val="04A0"/>
      </w:tblPr>
      <w:tblGrid>
        <w:gridCol w:w="513"/>
        <w:gridCol w:w="1234"/>
        <w:gridCol w:w="2057"/>
        <w:gridCol w:w="3496"/>
        <w:gridCol w:w="1131"/>
        <w:gridCol w:w="308"/>
        <w:gridCol w:w="1131"/>
      </w:tblGrid>
      <w:tr w:rsidR="00642D4D" w:rsidRPr="00642D4D" w:rsidTr="00642D4D">
        <w:trPr>
          <w:cantSplit/>
        </w:trPr>
        <w:tc>
          <w:tcPr>
            <w:tcW w:w="250" w:type="pct"/>
            <w:vMerge w:val="restart"/>
            <w:tcBorders>
              <w:top w:val="double" w:sz="6" w:space="0" w:color="000000"/>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aps/>
                <w:color w:val="545454"/>
                <w:kern w:val="0"/>
                <w:sz w:val="15"/>
                <w:szCs w:val="15"/>
              </w:rPr>
              <w:t>设施名称</w:t>
            </w:r>
          </w:p>
        </w:tc>
        <w:tc>
          <w:tcPr>
            <w:tcW w:w="6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aps/>
                <w:color w:val="545454"/>
                <w:kern w:val="0"/>
                <w:sz w:val="15"/>
                <w:szCs w:val="15"/>
              </w:rPr>
              <w:t>项目名称</w:t>
            </w:r>
          </w:p>
        </w:tc>
        <w:tc>
          <w:tcPr>
            <w:tcW w:w="10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aps/>
                <w:color w:val="545454"/>
                <w:kern w:val="0"/>
                <w:sz w:val="15"/>
                <w:szCs w:val="15"/>
              </w:rPr>
              <w:t>服务内容</w:t>
            </w:r>
          </w:p>
        </w:tc>
        <w:tc>
          <w:tcPr>
            <w:tcW w:w="1700" w:type="pct"/>
            <w:vMerge w:val="restart"/>
            <w:tcBorders>
              <w:top w:val="double" w:sz="6" w:space="0" w:color="000000"/>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aps/>
                <w:color w:val="545454"/>
                <w:kern w:val="0"/>
                <w:sz w:val="15"/>
                <w:szCs w:val="15"/>
              </w:rPr>
              <w:t>设</w:t>
            </w:r>
            <w:r w:rsidRPr="00642D4D">
              <w:rPr>
                <w:rFonts w:ascii="Arial" w:eastAsia="宋体" w:hAnsi="Arial" w:cs="Arial"/>
                <w:caps/>
                <w:color w:val="545454"/>
                <w:kern w:val="0"/>
                <w:sz w:val="15"/>
                <w:szCs w:val="15"/>
              </w:rPr>
              <w:t xml:space="preserve"> </w:t>
            </w:r>
            <w:r w:rsidRPr="00642D4D">
              <w:rPr>
                <w:rFonts w:ascii="Arial" w:eastAsia="宋体" w:hAnsi="Arial" w:cs="Arial"/>
                <w:caps/>
                <w:color w:val="545454"/>
                <w:kern w:val="0"/>
                <w:sz w:val="15"/>
                <w:szCs w:val="15"/>
              </w:rPr>
              <w:t>置</w:t>
            </w:r>
            <w:r w:rsidRPr="00642D4D">
              <w:rPr>
                <w:rFonts w:ascii="Arial" w:eastAsia="宋体" w:hAnsi="Arial" w:cs="Arial"/>
                <w:caps/>
                <w:color w:val="545454"/>
                <w:kern w:val="0"/>
                <w:sz w:val="15"/>
                <w:szCs w:val="15"/>
              </w:rPr>
              <w:t xml:space="preserve"> </w:t>
            </w:r>
            <w:r w:rsidRPr="00642D4D">
              <w:rPr>
                <w:rFonts w:ascii="Arial" w:eastAsia="宋体" w:hAnsi="Arial" w:cs="Arial"/>
                <w:caps/>
                <w:color w:val="545454"/>
                <w:kern w:val="0"/>
                <w:sz w:val="15"/>
                <w:szCs w:val="15"/>
              </w:rPr>
              <w:t>规</w:t>
            </w:r>
            <w:r w:rsidRPr="00642D4D">
              <w:rPr>
                <w:rFonts w:ascii="Arial" w:eastAsia="宋体" w:hAnsi="Arial" w:cs="Arial"/>
                <w:caps/>
                <w:color w:val="545454"/>
                <w:kern w:val="0"/>
                <w:sz w:val="15"/>
                <w:szCs w:val="15"/>
              </w:rPr>
              <w:t xml:space="preserve"> </w:t>
            </w:r>
            <w:r w:rsidRPr="00642D4D">
              <w:rPr>
                <w:rFonts w:ascii="Arial" w:eastAsia="宋体" w:hAnsi="Arial" w:cs="Arial"/>
                <w:caps/>
                <w:color w:val="545454"/>
                <w:kern w:val="0"/>
                <w:sz w:val="15"/>
                <w:szCs w:val="15"/>
              </w:rPr>
              <w:t>定</w:t>
            </w:r>
          </w:p>
        </w:tc>
        <w:tc>
          <w:tcPr>
            <w:tcW w:w="1250" w:type="pct"/>
            <w:gridSpan w:val="3"/>
            <w:tcBorders>
              <w:top w:val="double" w:sz="6" w:space="0" w:color="000000"/>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aps/>
                <w:color w:val="545454"/>
                <w:kern w:val="0"/>
                <w:sz w:val="15"/>
                <w:szCs w:val="15"/>
              </w:rPr>
              <w:t>每一处规模</w:t>
            </w:r>
          </w:p>
        </w:tc>
      </w:tr>
      <w:tr w:rsidR="00642D4D" w:rsidRPr="00642D4D" w:rsidTr="00642D4D">
        <w:trPr>
          <w:cantSplit/>
        </w:trPr>
        <w:tc>
          <w:tcPr>
            <w:tcW w:w="0" w:type="auto"/>
            <w:vMerge/>
            <w:tcBorders>
              <w:top w:val="double" w:sz="6" w:space="0" w:color="000000"/>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0" w:type="auto"/>
            <w:vMerge/>
            <w:tcBorders>
              <w:top w:val="double" w:sz="6" w:space="0" w:color="000000"/>
              <w:left w:val="outset" w:sz="6" w:space="0" w:color="ECE9D8"/>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建筑面积</w:t>
            </w:r>
            <w:r w:rsidRPr="00642D4D">
              <w:rPr>
                <w:rFonts w:ascii="Arial" w:eastAsia="宋体" w:hAnsi="Arial" w:cs="Arial"/>
                <w:color w:val="545454"/>
                <w:kern w:val="0"/>
                <w:sz w:val="15"/>
                <w:szCs w:val="15"/>
              </w:rPr>
              <w:t>(m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用地面积</w:t>
            </w:r>
            <w:r w:rsidRPr="00642D4D">
              <w:rPr>
                <w:rFonts w:ascii="Arial" w:eastAsia="宋体" w:hAnsi="Arial" w:cs="Arial"/>
                <w:color w:val="545454"/>
                <w:kern w:val="0"/>
                <w:sz w:val="15"/>
                <w:szCs w:val="15"/>
              </w:rPr>
              <w:t>(m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w:t>
            </w:r>
          </w:p>
        </w:tc>
      </w:tr>
      <w:tr w:rsidR="00642D4D" w:rsidRPr="00642D4D" w:rsidTr="00642D4D">
        <w:trPr>
          <w:cantSplit/>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教</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育</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托儿所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保教小于</w:t>
            </w: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周岁儿童</w:t>
            </w:r>
          </w:p>
        </w:tc>
        <w:tc>
          <w:tcPr>
            <w:tcW w:w="17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设于阳光充足，接近公共绿地，便于家长接送的地段</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托儿所每班按</w:t>
            </w:r>
            <w:r w:rsidRPr="00642D4D">
              <w:rPr>
                <w:rFonts w:ascii="Arial" w:eastAsia="宋体" w:hAnsi="Arial" w:cs="Arial"/>
                <w:color w:val="545454"/>
                <w:kern w:val="0"/>
                <w:sz w:val="15"/>
                <w:szCs w:val="15"/>
              </w:rPr>
              <w:t>25</w:t>
            </w:r>
            <w:r w:rsidRPr="00642D4D">
              <w:rPr>
                <w:rFonts w:ascii="Arial" w:eastAsia="宋体" w:hAnsi="Arial" w:cs="Arial"/>
                <w:color w:val="545454"/>
                <w:kern w:val="0"/>
                <w:sz w:val="15"/>
                <w:szCs w:val="15"/>
              </w:rPr>
              <w:t>座计；幼儿园每班按</w:t>
            </w:r>
            <w:r w:rsidRPr="00642D4D">
              <w:rPr>
                <w:rFonts w:ascii="Arial" w:eastAsia="宋体" w:hAnsi="Arial" w:cs="Arial"/>
                <w:color w:val="545454"/>
                <w:kern w:val="0"/>
                <w:sz w:val="15"/>
                <w:szCs w:val="15"/>
              </w:rPr>
              <w:t>30</w:t>
            </w:r>
            <w:r w:rsidRPr="00642D4D">
              <w:rPr>
                <w:rFonts w:ascii="Arial" w:eastAsia="宋体" w:hAnsi="Arial" w:cs="Arial"/>
                <w:color w:val="545454"/>
                <w:kern w:val="0"/>
                <w:sz w:val="15"/>
                <w:szCs w:val="15"/>
              </w:rPr>
              <w:t>座计</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服务半径不宜大于</w:t>
            </w:r>
            <w:r w:rsidRPr="00642D4D">
              <w:rPr>
                <w:rFonts w:ascii="Arial" w:eastAsia="宋体" w:hAnsi="Arial" w:cs="Arial"/>
                <w:color w:val="545454"/>
                <w:kern w:val="0"/>
                <w:sz w:val="15"/>
                <w:szCs w:val="15"/>
              </w:rPr>
              <w:t>300m</w:t>
            </w:r>
            <w:r w:rsidRPr="00642D4D">
              <w:rPr>
                <w:rFonts w:ascii="Arial" w:eastAsia="宋体" w:hAnsi="Arial" w:cs="Arial"/>
                <w:color w:val="545454"/>
                <w:kern w:val="0"/>
                <w:sz w:val="15"/>
                <w:szCs w:val="15"/>
              </w:rPr>
              <w:t>；层数不宜高于</w:t>
            </w: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层</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w:t>
            </w:r>
            <w:r w:rsidRPr="00642D4D">
              <w:rPr>
                <w:rFonts w:ascii="Arial" w:eastAsia="宋体" w:hAnsi="Arial" w:cs="Arial"/>
                <w:color w:val="545454"/>
                <w:kern w:val="0"/>
                <w:sz w:val="15"/>
                <w:szCs w:val="15"/>
              </w:rPr>
              <w:t>三班和三班以下的托、幼园所，可混合设置</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也可附设于其它建筑</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，但应有独立院落和出入口，四班和四班以上的托、幼园所均应独立设置</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(5)</w:t>
            </w:r>
            <w:r w:rsidRPr="00642D4D">
              <w:rPr>
                <w:rFonts w:ascii="Arial" w:eastAsia="宋体" w:hAnsi="Arial" w:cs="Arial"/>
                <w:color w:val="545454"/>
                <w:kern w:val="0"/>
                <w:sz w:val="15"/>
                <w:szCs w:val="15"/>
              </w:rPr>
              <w:t>八班和八班以上的托、幼园所，其用地应分别按每座不小于</w:t>
            </w:r>
            <w:r w:rsidRPr="00642D4D">
              <w:rPr>
                <w:rFonts w:ascii="Arial" w:eastAsia="宋体" w:hAnsi="Arial" w:cs="Arial"/>
                <w:color w:val="545454"/>
                <w:kern w:val="0"/>
                <w:sz w:val="15"/>
                <w:szCs w:val="15"/>
              </w:rPr>
              <w:t>7m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或</w:t>
            </w:r>
            <w:r w:rsidRPr="00642D4D">
              <w:rPr>
                <w:rFonts w:ascii="Arial" w:eastAsia="宋体" w:hAnsi="Arial" w:cs="Arial"/>
                <w:color w:val="545454"/>
                <w:kern w:val="0"/>
                <w:sz w:val="15"/>
                <w:szCs w:val="15"/>
              </w:rPr>
              <w:t xml:space="preserve"> 9 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计</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w:t>
            </w:r>
            <w:r w:rsidRPr="00642D4D">
              <w:rPr>
                <w:rFonts w:ascii="Arial" w:eastAsia="宋体" w:hAnsi="Arial" w:cs="Arial"/>
                <w:color w:val="545454"/>
                <w:kern w:val="0"/>
                <w:sz w:val="15"/>
                <w:szCs w:val="15"/>
              </w:rPr>
              <w:t>托、幼建筑宜布置于可挡寒风的建筑物的背风面</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但其主要房间应满足冬至日不小于</w:t>
            </w:r>
            <w:r w:rsidRPr="00642D4D">
              <w:rPr>
                <w:rFonts w:ascii="Arial" w:eastAsia="宋体" w:hAnsi="Arial" w:cs="Arial"/>
                <w:color w:val="545454"/>
                <w:kern w:val="0"/>
                <w:sz w:val="15"/>
                <w:szCs w:val="15"/>
              </w:rPr>
              <w:t>2H</w:t>
            </w:r>
            <w:r w:rsidRPr="00642D4D">
              <w:rPr>
                <w:rFonts w:ascii="Arial" w:eastAsia="宋体" w:hAnsi="Arial" w:cs="Arial"/>
                <w:color w:val="545454"/>
                <w:kern w:val="0"/>
                <w:sz w:val="15"/>
                <w:szCs w:val="15"/>
              </w:rPr>
              <w:t>的日照标准</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w:t>
            </w:r>
            <w:r w:rsidRPr="00642D4D">
              <w:rPr>
                <w:rFonts w:ascii="Arial" w:eastAsia="宋体" w:hAnsi="Arial" w:cs="Arial"/>
                <w:color w:val="545454"/>
                <w:kern w:val="0"/>
                <w:sz w:val="15"/>
                <w:szCs w:val="15"/>
              </w:rPr>
              <w:t>活动场地应有不少于</w:t>
            </w:r>
            <w:r w:rsidRPr="00642D4D">
              <w:rPr>
                <w:rFonts w:ascii="Arial" w:eastAsia="宋体" w:hAnsi="Arial" w:cs="Arial"/>
                <w:color w:val="545454"/>
                <w:kern w:val="0"/>
                <w:sz w:val="15"/>
                <w:szCs w:val="15"/>
              </w:rPr>
              <w:t>1/2</w:t>
            </w:r>
            <w:r w:rsidRPr="00642D4D">
              <w:rPr>
                <w:rFonts w:ascii="Arial" w:eastAsia="宋体" w:hAnsi="Arial" w:cs="Arial"/>
                <w:color w:val="545454"/>
                <w:kern w:val="0"/>
                <w:sz w:val="15"/>
                <w:szCs w:val="15"/>
              </w:rPr>
              <w:t>的活动面积在标准的建筑日照阴影线之外</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≥1200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≥1400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8</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≥1600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幼儿园</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保教学龄前儿童</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≥1500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≥2000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8</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≥2400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小学</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6~12</w:t>
            </w:r>
            <w:r w:rsidRPr="00642D4D">
              <w:rPr>
                <w:rFonts w:ascii="Arial" w:eastAsia="宋体" w:hAnsi="Arial" w:cs="Arial"/>
                <w:color w:val="545454"/>
                <w:kern w:val="0"/>
                <w:sz w:val="15"/>
                <w:szCs w:val="15"/>
              </w:rPr>
              <w:t>周岁儿童入学</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w:t>
            </w:r>
            <w:r w:rsidRPr="00642D4D">
              <w:rPr>
                <w:rFonts w:ascii="Arial" w:eastAsia="宋体" w:hAnsi="Arial" w:cs="Arial"/>
                <w:color w:val="545454"/>
                <w:kern w:val="0"/>
                <w:sz w:val="15"/>
                <w:szCs w:val="15"/>
                <w:u w:val="single"/>
              </w:rPr>
              <w:t>学生上下学穿越城市道路时，应有相应的安全措施</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服务半径不宜大于</w:t>
            </w:r>
            <w:r w:rsidRPr="00642D4D">
              <w:rPr>
                <w:rFonts w:ascii="Arial" w:eastAsia="宋体" w:hAnsi="Arial" w:cs="Arial"/>
                <w:color w:val="545454"/>
                <w:kern w:val="0"/>
                <w:sz w:val="15"/>
                <w:szCs w:val="15"/>
              </w:rPr>
              <w:t>500m</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教学楼应满足冬至日不小于</w:t>
            </w:r>
            <w:r w:rsidRPr="00642D4D">
              <w:rPr>
                <w:rFonts w:ascii="Arial" w:eastAsia="宋体" w:hAnsi="Arial" w:cs="Arial"/>
                <w:color w:val="545454"/>
                <w:kern w:val="0"/>
                <w:sz w:val="15"/>
                <w:szCs w:val="15"/>
              </w:rPr>
              <w:t>2H</w:t>
            </w:r>
            <w:r w:rsidRPr="00642D4D">
              <w:rPr>
                <w:rFonts w:ascii="Arial" w:eastAsia="宋体" w:hAnsi="Arial" w:cs="Arial"/>
                <w:color w:val="545454"/>
                <w:kern w:val="0"/>
                <w:sz w:val="15"/>
                <w:szCs w:val="15"/>
              </w:rPr>
              <w:t>的日照标准不限</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12</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≥6000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18</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≥7000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24</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≥8000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w:t>
            </w:r>
            <w:r w:rsidRPr="00642D4D">
              <w:rPr>
                <w:rFonts w:ascii="Arial" w:eastAsia="宋体" w:hAnsi="Arial" w:cs="Arial"/>
                <w:color w:val="545454"/>
                <w:kern w:val="0"/>
                <w:sz w:val="15"/>
                <w:szCs w:val="15"/>
                <w:u w:val="single"/>
              </w:rPr>
              <w:t>中学</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12~18</w:t>
            </w:r>
            <w:r w:rsidRPr="00642D4D">
              <w:rPr>
                <w:rFonts w:ascii="Arial" w:eastAsia="宋体" w:hAnsi="Arial" w:cs="Arial"/>
                <w:color w:val="545454"/>
                <w:kern w:val="0"/>
                <w:sz w:val="15"/>
                <w:szCs w:val="15"/>
              </w:rPr>
              <w:t>周岁青少年入学</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在拥有</w:t>
            </w: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所或</w:t>
            </w: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所以上中学的居住区或居住地内，应有一所设置</w:t>
            </w:r>
            <w:r w:rsidRPr="00642D4D">
              <w:rPr>
                <w:rFonts w:ascii="Arial" w:eastAsia="宋体" w:hAnsi="Arial" w:cs="Arial"/>
                <w:color w:val="545454"/>
                <w:kern w:val="0"/>
                <w:sz w:val="15"/>
                <w:szCs w:val="15"/>
              </w:rPr>
              <w:t xml:space="preserve">400m </w:t>
            </w:r>
            <w:r w:rsidRPr="00642D4D">
              <w:rPr>
                <w:rFonts w:ascii="Arial" w:eastAsia="宋体" w:hAnsi="Arial" w:cs="Arial"/>
                <w:color w:val="545454"/>
                <w:kern w:val="0"/>
                <w:sz w:val="15"/>
                <w:szCs w:val="15"/>
              </w:rPr>
              <w:t>环形跑道的运动场</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服务半径不宜大于</w:t>
            </w:r>
            <w:r w:rsidRPr="00642D4D">
              <w:rPr>
                <w:rFonts w:ascii="Arial" w:eastAsia="宋体" w:hAnsi="Arial" w:cs="Arial"/>
                <w:color w:val="545454"/>
                <w:kern w:val="0"/>
                <w:sz w:val="15"/>
                <w:szCs w:val="15"/>
              </w:rPr>
              <w:t>1000m</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教学楼应满足冬至日不小于</w:t>
            </w:r>
            <w:r w:rsidRPr="00642D4D">
              <w:rPr>
                <w:rFonts w:ascii="Arial" w:eastAsia="宋体" w:hAnsi="Arial" w:cs="Arial"/>
                <w:color w:val="545454"/>
                <w:kern w:val="0"/>
                <w:sz w:val="15"/>
                <w:szCs w:val="15"/>
              </w:rPr>
              <w:t>2h</w:t>
            </w:r>
            <w:r w:rsidRPr="00642D4D">
              <w:rPr>
                <w:rFonts w:ascii="Arial" w:eastAsia="宋体" w:hAnsi="Arial" w:cs="Arial"/>
                <w:color w:val="545454"/>
                <w:kern w:val="0"/>
                <w:sz w:val="15"/>
                <w:szCs w:val="15"/>
              </w:rPr>
              <w:t>的日照标准不限</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18</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≥11000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24</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≥12000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w:t>
            </w:r>
            <w:r w:rsidRPr="00642D4D">
              <w:rPr>
                <w:rFonts w:ascii="Arial" w:eastAsia="宋体" w:hAnsi="Arial" w:cs="Arial"/>
                <w:color w:val="545454"/>
                <w:kern w:val="0"/>
                <w:sz w:val="15"/>
                <w:szCs w:val="15"/>
              </w:rPr>
              <w:t>班</w:t>
            </w:r>
            <w:r w:rsidRPr="00642D4D">
              <w:rPr>
                <w:rFonts w:ascii="Arial" w:eastAsia="宋体" w:hAnsi="Arial" w:cs="Arial"/>
                <w:color w:val="545454"/>
                <w:kern w:val="0"/>
                <w:sz w:val="15"/>
                <w:szCs w:val="15"/>
              </w:rPr>
              <w:t>≥14000</w:t>
            </w:r>
          </w:p>
        </w:tc>
      </w:tr>
      <w:tr w:rsidR="00642D4D" w:rsidRPr="00642D4D" w:rsidTr="00642D4D">
        <w:trPr>
          <w:cantSplit/>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医</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疗</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卫</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生</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(5)</w:t>
            </w:r>
            <w:r w:rsidRPr="00642D4D">
              <w:rPr>
                <w:rFonts w:ascii="Arial" w:eastAsia="宋体" w:hAnsi="Arial" w:cs="Arial"/>
                <w:color w:val="545454"/>
                <w:kern w:val="0"/>
                <w:sz w:val="15"/>
                <w:szCs w:val="15"/>
              </w:rPr>
              <w:t>医院</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含社区卫生服务中心</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宜设于交通方便，环境较安静地段</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w:t>
            </w:r>
            <w:r w:rsidRPr="00642D4D">
              <w:rPr>
                <w:rFonts w:ascii="Arial" w:eastAsia="宋体" w:hAnsi="Arial" w:cs="Arial"/>
                <w:color w:val="545454"/>
                <w:kern w:val="0"/>
                <w:sz w:val="15"/>
                <w:szCs w:val="15"/>
              </w:rPr>
              <w:t> </w:t>
            </w:r>
            <w:r w:rsidRPr="00642D4D">
              <w:rPr>
                <w:rFonts w:ascii="Arial" w:eastAsia="宋体" w:hAnsi="Arial" w:cs="Arial"/>
                <w:color w:val="545454"/>
                <w:kern w:val="0"/>
                <w:sz w:val="15"/>
                <w:szCs w:val="15"/>
                <w:u w:val="single"/>
              </w:rPr>
              <w:t>10</w:t>
            </w:r>
            <w:r w:rsidRPr="00642D4D">
              <w:rPr>
                <w:rFonts w:ascii="Arial" w:eastAsia="宋体" w:hAnsi="Arial" w:cs="Arial"/>
                <w:color w:val="545454"/>
                <w:kern w:val="0"/>
                <w:sz w:val="15"/>
                <w:szCs w:val="15"/>
                <w:u w:val="single"/>
              </w:rPr>
              <w:t>万人左右则应设一所</w:t>
            </w:r>
            <w:r w:rsidRPr="00642D4D">
              <w:rPr>
                <w:rFonts w:ascii="Arial" w:eastAsia="宋体" w:hAnsi="Arial" w:cs="Arial"/>
                <w:color w:val="545454"/>
                <w:kern w:val="0"/>
                <w:sz w:val="15"/>
                <w:szCs w:val="15"/>
                <w:u w:val="single"/>
              </w:rPr>
              <w:t>300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400</w:t>
            </w:r>
            <w:r w:rsidRPr="00642D4D">
              <w:rPr>
                <w:rFonts w:ascii="Arial" w:eastAsia="宋体" w:hAnsi="Arial" w:cs="Arial"/>
                <w:color w:val="545454"/>
                <w:kern w:val="0"/>
                <w:sz w:val="15"/>
                <w:szCs w:val="15"/>
                <w:u w:val="single"/>
              </w:rPr>
              <w:t>床医院</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病房楼应满足冬至日不小于</w:t>
            </w:r>
            <w:r w:rsidRPr="00642D4D">
              <w:rPr>
                <w:rFonts w:ascii="Arial" w:eastAsia="宋体" w:hAnsi="Arial" w:cs="Arial"/>
                <w:color w:val="545454"/>
                <w:kern w:val="0"/>
                <w:sz w:val="15"/>
                <w:szCs w:val="15"/>
              </w:rPr>
              <w:t>2H</w:t>
            </w:r>
            <w:r w:rsidRPr="00642D4D">
              <w:rPr>
                <w:rFonts w:ascii="Arial" w:eastAsia="宋体" w:hAnsi="Arial" w:cs="Arial"/>
                <w:color w:val="545454"/>
                <w:kern w:val="0"/>
                <w:sz w:val="15"/>
                <w:szCs w:val="15"/>
              </w:rPr>
              <w:t>的日照标准</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12000</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18000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15000</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25000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w:t>
            </w:r>
            <w:r w:rsidRPr="00642D4D">
              <w:rPr>
                <w:rFonts w:ascii="Arial" w:eastAsia="宋体" w:hAnsi="Arial" w:cs="Arial"/>
                <w:color w:val="545454"/>
                <w:kern w:val="0"/>
                <w:sz w:val="15"/>
                <w:szCs w:val="15"/>
              </w:rPr>
              <w:t>门诊所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或社区卫生服务中心</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 </w:t>
            </w:r>
            <w:r w:rsidRPr="00642D4D">
              <w:rPr>
                <w:rFonts w:ascii="Arial" w:eastAsia="宋体" w:hAnsi="Arial" w:cs="Arial"/>
                <w:color w:val="545454"/>
                <w:kern w:val="0"/>
                <w:sz w:val="15"/>
                <w:szCs w:val="15"/>
                <w:u w:val="single"/>
              </w:rPr>
              <w:t>一般</w:t>
            </w:r>
            <w:r w:rsidRPr="00642D4D">
              <w:rPr>
                <w:rFonts w:ascii="Arial" w:eastAsia="宋体" w:hAnsi="Arial" w:cs="Arial"/>
                <w:color w:val="545454"/>
                <w:kern w:val="0"/>
                <w:sz w:val="15"/>
                <w:szCs w:val="15"/>
                <w:u w:val="single"/>
              </w:rPr>
              <w:t>3</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5</w:t>
            </w:r>
            <w:r w:rsidRPr="00642D4D">
              <w:rPr>
                <w:rFonts w:ascii="Arial" w:eastAsia="宋体" w:hAnsi="Arial" w:cs="Arial"/>
                <w:color w:val="545454"/>
                <w:kern w:val="0"/>
                <w:sz w:val="15"/>
                <w:szCs w:val="15"/>
                <w:u w:val="single"/>
              </w:rPr>
              <w:t>万人设一处，设医院的居住区不再设独立门诊</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 xml:space="preserve">(2) </w:t>
            </w:r>
            <w:r w:rsidRPr="00642D4D">
              <w:rPr>
                <w:rFonts w:ascii="Arial" w:eastAsia="宋体" w:hAnsi="Arial" w:cs="Arial"/>
                <w:color w:val="545454"/>
                <w:kern w:val="0"/>
                <w:sz w:val="15"/>
                <w:szCs w:val="15"/>
              </w:rPr>
              <w:t>设于交通便捷</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服务距离适中的地段</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2000~3000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3000~5000</w:t>
            </w:r>
          </w:p>
        </w:tc>
      </w:tr>
      <w:tr w:rsidR="00642D4D" w:rsidRPr="00642D4D" w:rsidTr="00642D4D">
        <w:trPr>
          <w:cantSplit/>
          <w:trHeight w:val="24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w:t>
            </w:r>
            <w:r w:rsidRPr="00642D4D">
              <w:rPr>
                <w:rFonts w:ascii="Arial" w:eastAsia="宋体" w:hAnsi="Arial" w:cs="Arial"/>
                <w:color w:val="545454"/>
                <w:kern w:val="0"/>
                <w:sz w:val="15"/>
                <w:szCs w:val="15"/>
              </w:rPr>
              <w:t>卫生站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社区卫生服务站</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1.5</w:t>
            </w:r>
            <w:r w:rsidRPr="00642D4D">
              <w:rPr>
                <w:rFonts w:ascii="Arial" w:eastAsia="宋体" w:hAnsi="Arial" w:cs="Arial"/>
                <w:color w:val="545454"/>
                <w:kern w:val="0"/>
                <w:sz w:val="15"/>
                <w:szCs w:val="15"/>
                <w:u w:val="single"/>
              </w:rPr>
              <w:t>万人设一处</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500</w:t>
            </w:r>
          </w:p>
        </w:tc>
      </w:tr>
      <w:tr w:rsidR="00642D4D" w:rsidRPr="00642D4D" w:rsidTr="00642D4D">
        <w:trPr>
          <w:cantSplit/>
          <w:trHeight w:val="54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(8)</w:t>
            </w:r>
            <w:r w:rsidRPr="00642D4D">
              <w:rPr>
                <w:rFonts w:ascii="Arial" w:eastAsia="宋体" w:hAnsi="Arial" w:cs="Arial"/>
                <w:color w:val="545454"/>
                <w:kern w:val="0"/>
                <w:sz w:val="15"/>
                <w:szCs w:val="15"/>
                <w:u w:val="single"/>
              </w:rPr>
              <w:t>护理院</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健康状况较差或恢复期老年人日常护理</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Times New Roman" w:eastAsia="宋体" w:hAnsi="Times New Roman" w:cs="Times New Roman"/>
                <w:color w:val="545454"/>
                <w:kern w:val="0"/>
                <w:sz w:val="15"/>
                <w:szCs w:val="15"/>
              </w:rPr>
              <w:t>   </w:t>
            </w:r>
            <w:r w:rsidRPr="00642D4D">
              <w:rPr>
                <w:rFonts w:ascii="Arial" w:eastAsia="宋体" w:hAnsi="Arial" w:cs="Arial"/>
                <w:color w:val="545454"/>
                <w:kern w:val="0"/>
                <w:sz w:val="15"/>
                <w:szCs w:val="15"/>
                <w:u w:val="single"/>
              </w:rPr>
              <w:t>最佳规模为</w:t>
            </w:r>
            <w:r w:rsidRPr="00642D4D">
              <w:rPr>
                <w:rFonts w:ascii="Arial" w:eastAsia="宋体" w:hAnsi="Arial" w:cs="Arial"/>
                <w:color w:val="545454"/>
                <w:kern w:val="0"/>
                <w:sz w:val="15"/>
                <w:szCs w:val="15"/>
                <w:u w:val="single"/>
              </w:rPr>
              <w:t>100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150</w:t>
            </w:r>
            <w:r w:rsidRPr="00642D4D">
              <w:rPr>
                <w:rFonts w:ascii="Arial" w:eastAsia="宋体" w:hAnsi="Arial" w:cs="Arial"/>
                <w:color w:val="545454"/>
                <w:kern w:val="0"/>
                <w:sz w:val="15"/>
                <w:szCs w:val="15"/>
                <w:u w:val="single"/>
              </w:rPr>
              <w:t>床位</w:t>
            </w:r>
          </w:p>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vertAlign w:val="superscript"/>
              </w:rPr>
              <w:t>2.</w:t>
            </w:r>
            <w:r w:rsidRPr="00642D4D">
              <w:rPr>
                <w:rFonts w:ascii="Times New Roman" w:eastAsia="宋体" w:hAnsi="Times New Roman" w:cs="Times New Roman"/>
                <w:color w:val="545454"/>
                <w:kern w:val="0"/>
                <w:sz w:val="15"/>
                <w:szCs w:val="15"/>
                <w:vertAlign w:val="superscript"/>
              </w:rPr>
              <w:t>      </w:t>
            </w:r>
            <w:r w:rsidRPr="00642D4D">
              <w:rPr>
                <w:rFonts w:ascii="Arial" w:eastAsia="宋体" w:hAnsi="Arial" w:cs="Arial"/>
                <w:color w:val="545454"/>
                <w:kern w:val="0"/>
                <w:sz w:val="15"/>
                <w:szCs w:val="15"/>
                <w:u w:val="single"/>
              </w:rPr>
              <w:t>每床位建筑面积</w:t>
            </w:r>
            <w:r w:rsidRPr="00642D4D">
              <w:rPr>
                <w:rFonts w:ascii="Arial" w:eastAsia="宋体" w:hAnsi="Arial" w:cs="Arial"/>
                <w:color w:val="545454"/>
                <w:kern w:val="0"/>
                <w:sz w:val="15"/>
                <w:szCs w:val="15"/>
                <w:u w:val="single"/>
              </w:rPr>
              <w:t>≥30m</w:t>
            </w:r>
            <w:r w:rsidRPr="00642D4D">
              <w:rPr>
                <w:rFonts w:ascii="Arial" w:eastAsia="宋体" w:hAnsi="Arial" w:cs="Arial"/>
                <w:color w:val="545454"/>
                <w:kern w:val="0"/>
                <w:sz w:val="15"/>
                <w:szCs w:val="15"/>
                <w:u w:val="single"/>
                <w:vertAlign w:val="superscript"/>
              </w:rPr>
              <w:t>2</w:t>
            </w:r>
          </w:p>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Times New Roman" w:eastAsia="宋体" w:hAnsi="Times New Roman" w:cs="Times New Roman"/>
                <w:color w:val="545454"/>
                <w:kern w:val="0"/>
                <w:sz w:val="15"/>
                <w:szCs w:val="15"/>
              </w:rPr>
              <w:t>   </w:t>
            </w:r>
            <w:r w:rsidRPr="00642D4D">
              <w:rPr>
                <w:rFonts w:ascii="Arial" w:eastAsia="宋体" w:hAnsi="Arial" w:cs="Arial"/>
                <w:color w:val="545454"/>
                <w:kern w:val="0"/>
                <w:sz w:val="15"/>
                <w:szCs w:val="15"/>
                <w:u w:val="single"/>
              </w:rPr>
              <w:t>可与社区卫生服务中心合设</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3000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45000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1695"/>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文</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体</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(9)</w:t>
            </w:r>
            <w:r w:rsidRPr="00642D4D">
              <w:rPr>
                <w:rFonts w:ascii="Arial" w:eastAsia="宋体" w:hAnsi="Arial" w:cs="Arial"/>
                <w:color w:val="545454"/>
                <w:kern w:val="0"/>
                <w:sz w:val="15"/>
                <w:szCs w:val="15"/>
                <w:u w:val="single"/>
              </w:rPr>
              <w:t>文化活动中心</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小型图书馆、科普知识宣传与教育：影视厅、舞厅、游艺厅、球类、棋类活动室；科技活动、各类艺术训练班</w:t>
            </w:r>
            <w:r w:rsidRPr="00642D4D">
              <w:rPr>
                <w:rFonts w:ascii="Arial" w:eastAsia="宋体" w:hAnsi="Arial" w:cs="Arial"/>
                <w:color w:val="545454"/>
                <w:kern w:val="0"/>
                <w:sz w:val="15"/>
                <w:szCs w:val="15"/>
                <w:u w:val="single"/>
              </w:rPr>
              <w:t>及青少年合老年人学习活动场地、用房等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宜结合或靠近同级中心绿地安排</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4000~5000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8000~12000</w:t>
            </w:r>
          </w:p>
        </w:tc>
      </w:tr>
      <w:tr w:rsidR="00642D4D" w:rsidRPr="00642D4D" w:rsidTr="00642D4D">
        <w:trPr>
          <w:cantSplit/>
          <w:trHeight w:val="15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w:t>
            </w:r>
            <w:r w:rsidRPr="00642D4D">
              <w:rPr>
                <w:rFonts w:ascii="Arial" w:eastAsia="宋体" w:hAnsi="Arial" w:cs="Arial"/>
                <w:color w:val="545454"/>
                <w:kern w:val="0"/>
                <w:sz w:val="15"/>
                <w:szCs w:val="15"/>
              </w:rPr>
              <w:t>文化活动站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书报阅览、书画、文娱、健身、音乐欣赏、茶座等主要供青少年和老年人活动</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宜结合或靠近同级中心绿地安排</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w:t>
            </w:r>
            <w:r w:rsidRPr="00642D4D">
              <w:rPr>
                <w:rFonts w:ascii="Arial" w:eastAsia="宋体" w:hAnsi="Arial" w:cs="Arial"/>
                <w:color w:val="545454"/>
                <w:kern w:val="0"/>
                <w:sz w:val="15"/>
                <w:szCs w:val="15"/>
                <w:u w:val="single"/>
              </w:rPr>
              <w:t>独立性组团应设置本站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600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600</w:t>
            </w:r>
          </w:p>
        </w:tc>
      </w:tr>
      <w:tr w:rsidR="00642D4D" w:rsidRPr="00642D4D" w:rsidTr="00642D4D">
        <w:trPr>
          <w:cantSplit/>
          <w:trHeight w:val="48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(11)</w:t>
            </w:r>
            <w:r w:rsidRPr="00642D4D">
              <w:rPr>
                <w:rFonts w:ascii="Arial" w:eastAsia="宋体" w:hAnsi="Arial" w:cs="Arial"/>
                <w:color w:val="545454"/>
                <w:kern w:val="0"/>
                <w:sz w:val="15"/>
                <w:szCs w:val="15"/>
                <w:u w:val="single"/>
              </w:rPr>
              <w:t>居民运动场、馆</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健身场地</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宜设置</w:t>
            </w:r>
            <w:r w:rsidRPr="00642D4D">
              <w:rPr>
                <w:rFonts w:ascii="Arial" w:eastAsia="宋体" w:hAnsi="Arial" w:cs="Arial"/>
                <w:color w:val="545454"/>
                <w:kern w:val="0"/>
                <w:sz w:val="15"/>
                <w:szCs w:val="15"/>
              </w:rPr>
              <w:t>60~100m</w:t>
            </w:r>
            <w:r w:rsidRPr="00642D4D">
              <w:rPr>
                <w:rFonts w:ascii="Arial" w:eastAsia="宋体" w:hAnsi="Arial" w:cs="Arial"/>
                <w:color w:val="545454"/>
                <w:kern w:val="0"/>
                <w:sz w:val="15"/>
                <w:szCs w:val="15"/>
              </w:rPr>
              <w:t>直跑道和</w:t>
            </w:r>
            <w:r w:rsidRPr="00642D4D">
              <w:rPr>
                <w:rFonts w:ascii="Arial" w:eastAsia="宋体" w:hAnsi="Arial" w:cs="Arial"/>
                <w:color w:val="545454"/>
                <w:kern w:val="0"/>
                <w:sz w:val="15"/>
                <w:szCs w:val="15"/>
              </w:rPr>
              <w:t>200m</w:t>
            </w:r>
            <w:r w:rsidRPr="00642D4D">
              <w:rPr>
                <w:rFonts w:ascii="Arial" w:eastAsia="宋体" w:hAnsi="Arial" w:cs="Arial"/>
                <w:color w:val="545454"/>
                <w:kern w:val="0"/>
                <w:sz w:val="15"/>
                <w:szCs w:val="15"/>
              </w:rPr>
              <w:t>环形跑道及简单的运动设施</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10000~15000</w:t>
            </w:r>
          </w:p>
        </w:tc>
      </w:tr>
      <w:tr w:rsidR="00642D4D" w:rsidRPr="00642D4D" w:rsidTr="00642D4D">
        <w:trPr>
          <w:cantSplit/>
          <w:trHeight w:val="12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(12)</w:t>
            </w:r>
            <w:r w:rsidRPr="00642D4D">
              <w:rPr>
                <w:rFonts w:ascii="Arial" w:eastAsia="宋体" w:hAnsi="Arial" w:cs="Arial"/>
                <w:color w:val="545454"/>
                <w:kern w:val="0"/>
                <w:sz w:val="15"/>
                <w:szCs w:val="15"/>
                <w:u w:val="single"/>
              </w:rPr>
              <w:t>居民健身设施</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篮、排球及小型球类场地，儿童及老年人活动场地合其他简单运动设施等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宜结合绿地安排</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630"/>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商</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业</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服</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(13)</w:t>
            </w:r>
            <w:r w:rsidRPr="00642D4D">
              <w:rPr>
                <w:rFonts w:ascii="Arial" w:eastAsia="宋体" w:hAnsi="Arial" w:cs="Arial"/>
                <w:color w:val="545454"/>
                <w:kern w:val="0"/>
                <w:sz w:val="15"/>
                <w:szCs w:val="15"/>
                <w:u w:val="single"/>
              </w:rPr>
              <w:t>综合食品店</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粮油、副食、糕点、干鲜果品等</w:t>
            </w:r>
          </w:p>
        </w:tc>
        <w:tc>
          <w:tcPr>
            <w:tcW w:w="17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Arial" w:eastAsia="宋体" w:hAnsi="Arial" w:cs="Arial"/>
                <w:color w:val="545454"/>
                <w:kern w:val="0"/>
                <w:sz w:val="15"/>
                <w:szCs w:val="15"/>
              </w:rPr>
              <w:t>服务半径：居住区不宜大于</w:t>
            </w:r>
            <w:r w:rsidRPr="00642D4D">
              <w:rPr>
                <w:rFonts w:ascii="Arial" w:eastAsia="宋体" w:hAnsi="Arial" w:cs="Arial"/>
                <w:color w:val="545454"/>
                <w:kern w:val="0"/>
                <w:sz w:val="15"/>
                <w:szCs w:val="15"/>
              </w:rPr>
              <w:t>500m</w:t>
            </w:r>
            <w:r w:rsidRPr="00642D4D">
              <w:rPr>
                <w:rFonts w:ascii="Arial" w:eastAsia="宋体" w:hAnsi="Arial" w:cs="Arial"/>
                <w:color w:val="545454"/>
                <w:kern w:val="0"/>
                <w:sz w:val="15"/>
                <w:szCs w:val="15"/>
              </w:rPr>
              <w:t>；居住</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小区不宜大于</w:t>
            </w:r>
            <w:r w:rsidRPr="00642D4D">
              <w:rPr>
                <w:rFonts w:ascii="Arial" w:eastAsia="宋体" w:hAnsi="Arial" w:cs="Arial"/>
                <w:color w:val="545454"/>
                <w:kern w:val="0"/>
                <w:sz w:val="15"/>
                <w:szCs w:val="15"/>
              </w:rPr>
              <w:t>300M</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地处山坡地的居住区，其商业服务设施的布点，除满足服务半径的要求外，还应考虑上坡空手，下坡负重的原则</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居住区：</w:t>
            </w:r>
            <w:r w:rsidRPr="00642D4D">
              <w:rPr>
                <w:rFonts w:ascii="Arial" w:eastAsia="宋体" w:hAnsi="Arial" w:cs="Arial"/>
                <w:color w:val="545454"/>
                <w:kern w:val="0"/>
                <w:sz w:val="15"/>
                <w:szCs w:val="15"/>
                <w:u w:val="single"/>
              </w:rPr>
              <w:t>1500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2500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小区：</w:t>
            </w:r>
            <w:r w:rsidRPr="00642D4D">
              <w:rPr>
                <w:rFonts w:ascii="Arial" w:eastAsia="宋体" w:hAnsi="Arial" w:cs="Arial"/>
                <w:color w:val="545454"/>
                <w:kern w:val="0"/>
                <w:sz w:val="15"/>
                <w:szCs w:val="15"/>
                <w:u w:val="single"/>
              </w:rPr>
              <w:t>800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1500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(14)</w:t>
            </w:r>
            <w:r w:rsidRPr="00642D4D">
              <w:rPr>
                <w:rFonts w:ascii="Arial" w:eastAsia="宋体" w:hAnsi="Arial" w:cs="Arial"/>
                <w:color w:val="545454"/>
                <w:kern w:val="0"/>
                <w:sz w:val="15"/>
                <w:szCs w:val="15"/>
                <w:u w:val="single"/>
              </w:rPr>
              <w:t>综合百货店</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日用百货、鞋帽、服装、布匹、五金及家用电器等</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居住区：</w:t>
            </w:r>
            <w:r w:rsidRPr="00642D4D">
              <w:rPr>
                <w:rFonts w:ascii="Arial" w:eastAsia="宋体" w:hAnsi="Arial" w:cs="Arial"/>
                <w:color w:val="545454"/>
                <w:kern w:val="0"/>
                <w:sz w:val="15"/>
                <w:szCs w:val="15"/>
                <w:u w:val="single"/>
              </w:rPr>
              <w:t>2000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3000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小区：</w:t>
            </w:r>
            <w:r w:rsidRPr="00642D4D">
              <w:rPr>
                <w:rFonts w:ascii="Arial" w:eastAsia="宋体" w:hAnsi="Arial" w:cs="Arial"/>
                <w:color w:val="545454"/>
                <w:kern w:val="0"/>
                <w:sz w:val="15"/>
                <w:szCs w:val="15"/>
                <w:u w:val="single"/>
              </w:rPr>
              <w:t>400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600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(15)</w:t>
            </w:r>
            <w:r w:rsidRPr="00642D4D">
              <w:rPr>
                <w:rFonts w:ascii="Arial" w:eastAsia="宋体" w:hAnsi="Arial" w:cs="Arial"/>
                <w:color w:val="545454"/>
                <w:kern w:val="0"/>
                <w:sz w:val="15"/>
                <w:szCs w:val="15"/>
                <w:u w:val="single"/>
              </w:rPr>
              <w:t>餐饮</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主食、早点、快餐、正餐等</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(16)</w:t>
            </w:r>
            <w:r w:rsidRPr="00642D4D">
              <w:rPr>
                <w:rFonts w:ascii="Arial" w:eastAsia="宋体" w:hAnsi="Arial" w:cs="Arial"/>
                <w:color w:val="545454"/>
                <w:kern w:val="0"/>
                <w:sz w:val="15"/>
                <w:szCs w:val="15"/>
              </w:rPr>
              <w:t>中西药店</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汤药、中成药与西药</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200~500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42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(17)</w:t>
            </w:r>
            <w:r w:rsidRPr="00642D4D">
              <w:rPr>
                <w:rFonts w:ascii="Arial" w:eastAsia="宋体" w:hAnsi="Arial" w:cs="Arial"/>
                <w:color w:val="545454"/>
                <w:kern w:val="0"/>
                <w:sz w:val="15"/>
                <w:szCs w:val="15"/>
              </w:rPr>
              <w:t>书店</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书刊及音像制品</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300~1000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87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(18)</w:t>
            </w:r>
            <w:r w:rsidRPr="00642D4D">
              <w:rPr>
                <w:rFonts w:ascii="Arial" w:eastAsia="宋体" w:hAnsi="Arial" w:cs="Arial"/>
                <w:color w:val="545454"/>
                <w:kern w:val="0"/>
                <w:sz w:val="15"/>
                <w:szCs w:val="15"/>
                <w:u w:val="single"/>
              </w:rPr>
              <w:t>市场</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以销售农副产品和小商品为主</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设置方式应根据气候特点与当地传统的集市要求而定</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居住区：</w:t>
            </w:r>
            <w:r w:rsidRPr="00642D4D">
              <w:rPr>
                <w:rFonts w:ascii="Arial" w:eastAsia="宋体" w:hAnsi="Arial" w:cs="Arial"/>
                <w:color w:val="545454"/>
                <w:kern w:val="0"/>
                <w:sz w:val="15"/>
                <w:szCs w:val="15"/>
                <w:u w:val="single"/>
              </w:rPr>
              <w:t>100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1200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小区：</w:t>
            </w:r>
            <w:r w:rsidRPr="00642D4D">
              <w:rPr>
                <w:rFonts w:ascii="Arial" w:eastAsia="宋体" w:hAnsi="Arial" w:cs="Arial"/>
                <w:color w:val="545454"/>
                <w:kern w:val="0"/>
                <w:sz w:val="15"/>
                <w:szCs w:val="15"/>
                <w:u w:val="single"/>
              </w:rPr>
              <w:t>500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居住区：</w:t>
            </w:r>
            <w:r w:rsidRPr="00642D4D">
              <w:rPr>
                <w:rFonts w:ascii="Arial" w:eastAsia="宋体" w:hAnsi="Arial" w:cs="Arial"/>
                <w:color w:val="545454"/>
                <w:kern w:val="0"/>
                <w:sz w:val="15"/>
                <w:szCs w:val="15"/>
                <w:u w:val="single"/>
              </w:rPr>
              <w:t>1500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2000</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小区：</w:t>
            </w:r>
            <w:r w:rsidRPr="00642D4D">
              <w:rPr>
                <w:rFonts w:ascii="Arial" w:eastAsia="宋体" w:hAnsi="Arial" w:cs="Arial"/>
                <w:color w:val="545454"/>
                <w:kern w:val="0"/>
                <w:sz w:val="15"/>
                <w:szCs w:val="15"/>
                <w:u w:val="single"/>
              </w:rPr>
              <w:t>800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1500</w:t>
            </w:r>
          </w:p>
        </w:tc>
      </w:tr>
      <w:tr w:rsidR="00642D4D" w:rsidRPr="00642D4D" w:rsidTr="00642D4D">
        <w:trPr>
          <w:cantSplit/>
          <w:trHeight w:val="13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(19)</w:t>
            </w:r>
            <w:r w:rsidRPr="00642D4D">
              <w:rPr>
                <w:rFonts w:ascii="Arial" w:eastAsia="宋体" w:hAnsi="Arial" w:cs="Arial"/>
                <w:color w:val="545454"/>
                <w:kern w:val="0"/>
                <w:sz w:val="15"/>
                <w:szCs w:val="15"/>
                <w:u w:val="single"/>
              </w:rPr>
              <w:t>便民店</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小百货、小日杂</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宜设于组团的出入口附近</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106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(20)</w:t>
            </w:r>
            <w:r w:rsidRPr="00642D4D">
              <w:rPr>
                <w:rFonts w:ascii="Arial" w:eastAsia="宋体" w:hAnsi="Arial" w:cs="Arial"/>
                <w:color w:val="545454"/>
                <w:kern w:val="0"/>
                <w:sz w:val="15"/>
                <w:szCs w:val="15"/>
                <w:u w:val="single"/>
              </w:rPr>
              <w:t>其他第三产业设施</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零售、洗染、美容美发、照相、影视文化、休闲娱乐、洗浴、旅店、综合修理以及辅助就业设施等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具体项目、规模不限</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435"/>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金</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融</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邮</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电</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电</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(21)</w:t>
            </w:r>
            <w:r w:rsidRPr="00642D4D">
              <w:rPr>
                <w:rFonts w:ascii="Arial" w:eastAsia="宋体" w:hAnsi="Arial" w:cs="Arial"/>
                <w:color w:val="545454"/>
                <w:kern w:val="0"/>
                <w:sz w:val="15"/>
                <w:szCs w:val="15"/>
              </w:rPr>
              <w:t>银行</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分理处</w:t>
            </w:r>
          </w:p>
        </w:tc>
        <w:tc>
          <w:tcPr>
            <w:tcW w:w="1700" w:type="pct"/>
            <w:vMerge w:val="restar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宜与商业服务中心结合或邻近设置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800~1000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400~500</w:t>
            </w:r>
          </w:p>
        </w:tc>
      </w:tr>
      <w:tr w:rsidR="00642D4D" w:rsidRPr="00642D4D" w:rsidTr="00642D4D">
        <w:trPr>
          <w:cantSplit/>
          <w:trHeight w:val="43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(22)</w:t>
            </w:r>
            <w:r w:rsidRPr="00642D4D">
              <w:rPr>
                <w:rFonts w:ascii="Arial" w:eastAsia="宋体" w:hAnsi="Arial" w:cs="Arial"/>
                <w:color w:val="545454"/>
                <w:kern w:val="0"/>
                <w:sz w:val="15"/>
                <w:szCs w:val="15"/>
              </w:rPr>
              <w:t>储蓄所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储蓄为主</w:t>
            </w:r>
          </w:p>
        </w:tc>
        <w:tc>
          <w:tcPr>
            <w:tcW w:w="0" w:type="auto"/>
            <w:vMerge/>
            <w:tcBorders>
              <w:top w:val="outset" w:sz="6" w:space="0" w:color="ECE9D8"/>
              <w:left w:val="outset" w:sz="6" w:space="0" w:color="ECE9D8"/>
              <w:bottom w:val="single" w:sz="8" w:space="0" w:color="000000"/>
              <w:right w:val="single" w:sz="8" w:space="0" w:color="000000"/>
            </w:tcBorders>
            <w:tcMar>
              <w:top w:w="105" w:type="dxa"/>
              <w:left w:w="105" w:type="dxa"/>
              <w:bottom w:w="105" w:type="dxa"/>
              <w:right w:w="105" w:type="dxa"/>
            </w:tcMar>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100~150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46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(23)</w:t>
            </w:r>
            <w:r w:rsidRPr="00642D4D">
              <w:rPr>
                <w:rFonts w:ascii="Arial" w:eastAsia="宋体" w:hAnsi="Arial" w:cs="Arial"/>
                <w:color w:val="545454"/>
                <w:kern w:val="0"/>
                <w:sz w:val="15"/>
                <w:szCs w:val="15"/>
                <w:u w:val="single"/>
              </w:rPr>
              <w:t>电信支局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电话及相关业务</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根据专业规划需要设置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1000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2500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600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1500</w:t>
            </w:r>
          </w:p>
        </w:tc>
      </w:tr>
      <w:tr w:rsidR="00642D4D" w:rsidRPr="00642D4D" w:rsidTr="00642D4D">
        <w:trPr>
          <w:cantSplit/>
          <w:trHeight w:val="82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(24)</w:t>
            </w:r>
            <w:r w:rsidRPr="00642D4D">
              <w:rPr>
                <w:rFonts w:ascii="Arial" w:eastAsia="宋体" w:hAnsi="Arial" w:cs="Arial"/>
                <w:color w:val="545454"/>
                <w:kern w:val="0"/>
                <w:sz w:val="15"/>
                <w:szCs w:val="15"/>
              </w:rPr>
              <w:t>邮电所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邮电综合业务包括电报、电话、信函、包裹、兑汇和报刊零售等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宜与商业服务中心结合或邻近设置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100~150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555"/>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社</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区</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服</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务</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(25)</w:t>
            </w:r>
            <w:r w:rsidRPr="00642D4D">
              <w:rPr>
                <w:rFonts w:ascii="Arial" w:eastAsia="宋体" w:hAnsi="Arial" w:cs="Arial"/>
                <w:color w:val="545454"/>
                <w:kern w:val="0"/>
                <w:sz w:val="15"/>
                <w:szCs w:val="15"/>
                <w:u w:val="single"/>
              </w:rPr>
              <w:t>社区服务中心</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家政服务、就业指导、中介、咨询服务、代客定票、部分老年人服务设施等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每小区设置一处，居住区也可合并设置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300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500</w:t>
            </w:r>
          </w:p>
        </w:tc>
      </w:tr>
      <w:tr w:rsidR="00642D4D" w:rsidRPr="00642D4D" w:rsidTr="00642D4D">
        <w:trPr>
          <w:cantSplit/>
          <w:trHeight w:val="27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(26)</w:t>
            </w:r>
            <w:r w:rsidRPr="00642D4D">
              <w:rPr>
                <w:rFonts w:ascii="Arial" w:eastAsia="宋体" w:hAnsi="Arial" w:cs="Arial"/>
                <w:color w:val="545454"/>
                <w:kern w:val="0"/>
                <w:sz w:val="15"/>
                <w:szCs w:val="15"/>
                <w:u w:val="single"/>
              </w:rPr>
              <w:t>养老院</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老年人全托式护理服务</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Times New Roman" w:eastAsia="宋体" w:hAnsi="Times New Roman" w:cs="Times New Roman"/>
                <w:color w:val="545454"/>
                <w:kern w:val="0"/>
                <w:sz w:val="15"/>
                <w:szCs w:val="15"/>
              </w:rPr>
              <w:t>   </w:t>
            </w:r>
            <w:r w:rsidRPr="00642D4D">
              <w:rPr>
                <w:rFonts w:ascii="Arial" w:eastAsia="宋体" w:hAnsi="Arial" w:cs="Arial"/>
                <w:color w:val="545454"/>
                <w:kern w:val="0"/>
                <w:sz w:val="15"/>
                <w:szCs w:val="15"/>
                <w:u w:val="single"/>
              </w:rPr>
              <w:t>一般规模为</w:t>
            </w:r>
            <w:r w:rsidRPr="00642D4D">
              <w:rPr>
                <w:rFonts w:ascii="Arial" w:eastAsia="宋体" w:hAnsi="Arial" w:cs="Arial"/>
                <w:color w:val="545454"/>
                <w:kern w:val="0"/>
                <w:sz w:val="15"/>
                <w:szCs w:val="15"/>
                <w:u w:val="single"/>
              </w:rPr>
              <w:t>150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200</w:t>
            </w:r>
            <w:r w:rsidRPr="00642D4D">
              <w:rPr>
                <w:rFonts w:ascii="Arial" w:eastAsia="宋体" w:hAnsi="Arial" w:cs="Arial"/>
                <w:color w:val="545454"/>
                <w:kern w:val="0"/>
                <w:sz w:val="15"/>
                <w:szCs w:val="15"/>
                <w:u w:val="single"/>
              </w:rPr>
              <w:t>床位</w:t>
            </w:r>
          </w:p>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vertAlign w:val="superscript"/>
              </w:rPr>
              <w:t>2.</w:t>
            </w:r>
            <w:r w:rsidRPr="00642D4D">
              <w:rPr>
                <w:rFonts w:ascii="Times New Roman" w:eastAsia="宋体" w:hAnsi="Times New Roman" w:cs="Times New Roman"/>
                <w:color w:val="545454"/>
                <w:kern w:val="0"/>
                <w:sz w:val="15"/>
                <w:szCs w:val="15"/>
                <w:vertAlign w:val="superscript"/>
              </w:rPr>
              <w:t>      </w:t>
            </w:r>
            <w:r w:rsidRPr="00642D4D">
              <w:rPr>
                <w:rFonts w:ascii="Arial" w:eastAsia="宋体" w:hAnsi="Arial" w:cs="Arial"/>
                <w:color w:val="545454"/>
                <w:kern w:val="0"/>
                <w:sz w:val="15"/>
                <w:szCs w:val="15"/>
                <w:u w:val="single"/>
              </w:rPr>
              <w:t>每床位建筑面积</w:t>
            </w:r>
            <w:r w:rsidRPr="00642D4D">
              <w:rPr>
                <w:rFonts w:ascii="Arial" w:eastAsia="宋体" w:hAnsi="Arial" w:cs="Arial"/>
                <w:color w:val="545454"/>
                <w:kern w:val="0"/>
                <w:sz w:val="15"/>
                <w:szCs w:val="15"/>
                <w:u w:val="single"/>
              </w:rPr>
              <w:t>≥400 m</w:t>
            </w:r>
            <w:r w:rsidRPr="00642D4D">
              <w:rPr>
                <w:rFonts w:ascii="Arial" w:eastAsia="宋体" w:hAnsi="Arial" w:cs="Arial"/>
                <w:color w:val="545454"/>
                <w:kern w:val="0"/>
                <w:sz w:val="15"/>
                <w:szCs w:val="15"/>
                <w:u w:val="single"/>
                <w:vertAlign w:val="superscript"/>
              </w:rPr>
              <w:t>2</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105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(27)</w:t>
            </w:r>
            <w:r w:rsidRPr="00642D4D">
              <w:rPr>
                <w:rFonts w:ascii="Arial" w:eastAsia="宋体" w:hAnsi="Arial" w:cs="Arial"/>
                <w:color w:val="545454"/>
                <w:kern w:val="0"/>
                <w:sz w:val="15"/>
                <w:szCs w:val="15"/>
                <w:u w:val="single"/>
              </w:rPr>
              <w:t>托老所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老年人日托（餐饮、文娱、健身、医疗保健等）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w:t>
            </w:r>
            <w:r w:rsidRPr="00642D4D">
              <w:rPr>
                <w:rFonts w:ascii="Times New Roman" w:eastAsia="宋体" w:hAnsi="Times New Roman" w:cs="Times New Roman"/>
                <w:color w:val="545454"/>
                <w:kern w:val="0"/>
                <w:sz w:val="15"/>
                <w:szCs w:val="15"/>
              </w:rPr>
              <w:t>   </w:t>
            </w:r>
            <w:r w:rsidRPr="00642D4D">
              <w:rPr>
                <w:rFonts w:ascii="Arial" w:eastAsia="宋体" w:hAnsi="Arial" w:cs="Arial"/>
                <w:color w:val="545454"/>
                <w:kern w:val="0"/>
                <w:sz w:val="15"/>
                <w:szCs w:val="15"/>
                <w:u w:val="single"/>
              </w:rPr>
              <w:t>一般规模为</w:t>
            </w:r>
            <w:r w:rsidRPr="00642D4D">
              <w:rPr>
                <w:rFonts w:ascii="Arial" w:eastAsia="宋体" w:hAnsi="Arial" w:cs="Arial"/>
                <w:color w:val="545454"/>
                <w:kern w:val="0"/>
                <w:sz w:val="15"/>
                <w:szCs w:val="15"/>
                <w:u w:val="single"/>
              </w:rPr>
              <w:t>30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50</w:t>
            </w:r>
            <w:r w:rsidRPr="00642D4D">
              <w:rPr>
                <w:rFonts w:ascii="Arial" w:eastAsia="宋体" w:hAnsi="Arial" w:cs="Arial"/>
                <w:color w:val="545454"/>
                <w:kern w:val="0"/>
                <w:sz w:val="15"/>
                <w:szCs w:val="15"/>
                <w:u w:val="single"/>
              </w:rPr>
              <w:t>床位</w:t>
            </w:r>
          </w:p>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vertAlign w:val="superscript"/>
              </w:rPr>
              <w:t>2.</w:t>
            </w:r>
            <w:r w:rsidRPr="00642D4D">
              <w:rPr>
                <w:rFonts w:ascii="Times New Roman" w:eastAsia="宋体" w:hAnsi="Times New Roman" w:cs="Times New Roman"/>
                <w:color w:val="545454"/>
                <w:kern w:val="0"/>
                <w:sz w:val="15"/>
                <w:szCs w:val="15"/>
                <w:vertAlign w:val="superscript"/>
              </w:rPr>
              <w:t>      </w:t>
            </w:r>
            <w:r w:rsidRPr="00642D4D">
              <w:rPr>
                <w:rFonts w:ascii="Arial" w:eastAsia="宋体" w:hAnsi="Arial" w:cs="Arial"/>
                <w:color w:val="545454"/>
                <w:kern w:val="0"/>
                <w:sz w:val="15"/>
                <w:szCs w:val="15"/>
                <w:u w:val="single"/>
              </w:rPr>
              <w:t>每床位建筑面积</w:t>
            </w:r>
            <w:r w:rsidRPr="00642D4D">
              <w:rPr>
                <w:rFonts w:ascii="Arial" w:eastAsia="宋体" w:hAnsi="Arial" w:cs="Arial"/>
                <w:color w:val="545454"/>
                <w:kern w:val="0"/>
                <w:sz w:val="15"/>
                <w:szCs w:val="15"/>
                <w:u w:val="single"/>
              </w:rPr>
              <w:t>20 m</w:t>
            </w:r>
            <w:r w:rsidRPr="00642D4D">
              <w:rPr>
                <w:rFonts w:ascii="Arial" w:eastAsia="宋体" w:hAnsi="Arial" w:cs="Arial"/>
                <w:color w:val="545454"/>
                <w:kern w:val="0"/>
                <w:sz w:val="15"/>
                <w:szCs w:val="15"/>
                <w:u w:val="single"/>
                <w:vertAlign w:val="superscript"/>
              </w:rPr>
              <w:t>2</w:t>
            </w:r>
          </w:p>
          <w:p w:rsidR="00642D4D" w:rsidRPr="00642D4D" w:rsidRDefault="00642D4D" w:rsidP="00642D4D">
            <w:pPr>
              <w:widowControl/>
              <w:spacing w:line="193" w:lineRule="atLeast"/>
              <w:ind w:hanging="360"/>
              <w:jc w:val="center"/>
              <w:rPr>
                <w:rFonts w:ascii="Arial" w:eastAsia="宋体" w:hAnsi="Arial" w:cs="Arial"/>
                <w:color w:val="545454"/>
                <w:kern w:val="0"/>
                <w:sz w:val="15"/>
                <w:szCs w:val="15"/>
              </w:rPr>
            </w:pPr>
            <w:r w:rsidRPr="00642D4D">
              <w:rPr>
                <w:rFonts w:ascii="Arial" w:eastAsia="宋体" w:hAnsi="Arial" w:cs="Arial"/>
                <w:color w:val="545454"/>
                <w:kern w:val="0"/>
                <w:sz w:val="15"/>
                <w:szCs w:val="15"/>
                <w:vertAlign w:val="superscript"/>
              </w:rPr>
              <w:t>3.</w:t>
            </w:r>
            <w:r w:rsidRPr="00642D4D">
              <w:rPr>
                <w:rFonts w:ascii="Times New Roman" w:eastAsia="宋体" w:hAnsi="Times New Roman" w:cs="Times New Roman"/>
                <w:color w:val="545454"/>
                <w:kern w:val="0"/>
                <w:sz w:val="15"/>
                <w:szCs w:val="15"/>
                <w:vertAlign w:val="superscript"/>
              </w:rPr>
              <w:t>      </w:t>
            </w:r>
            <w:r w:rsidRPr="00642D4D">
              <w:rPr>
                <w:rFonts w:ascii="Arial" w:eastAsia="宋体" w:hAnsi="Arial" w:cs="Arial"/>
                <w:color w:val="545454"/>
                <w:kern w:val="0"/>
                <w:sz w:val="15"/>
                <w:szCs w:val="15"/>
                <w:u w:val="single"/>
              </w:rPr>
              <w:t>宜靠近集中绿地安排，可与老年活动中心合并设置</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79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(28)</w:t>
            </w:r>
            <w:r w:rsidRPr="00642D4D">
              <w:rPr>
                <w:rFonts w:ascii="Arial" w:eastAsia="宋体" w:hAnsi="Arial" w:cs="Arial"/>
                <w:color w:val="545454"/>
                <w:kern w:val="0"/>
                <w:sz w:val="15"/>
                <w:szCs w:val="15"/>
                <w:u w:val="single"/>
              </w:rPr>
              <w:t>残疾人托养所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残疾人全托式护理</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19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(29)</w:t>
            </w:r>
            <w:r w:rsidRPr="00642D4D">
              <w:rPr>
                <w:rFonts w:ascii="Arial" w:eastAsia="宋体" w:hAnsi="Arial" w:cs="Arial"/>
                <w:color w:val="545454"/>
                <w:kern w:val="0"/>
                <w:sz w:val="15"/>
                <w:szCs w:val="15"/>
                <w:u w:val="single"/>
              </w:rPr>
              <w:t>治安联防站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可与居（里）委会合设</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18</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30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12</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20</w:t>
            </w:r>
          </w:p>
        </w:tc>
      </w:tr>
      <w:tr w:rsidR="00642D4D" w:rsidRPr="00642D4D" w:rsidTr="00642D4D">
        <w:trPr>
          <w:cantSplit/>
          <w:trHeight w:val="13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w:t>
            </w:r>
            <w:r w:rsidRPr="00642D4D">
              <w:rPr>
                <w:rFonts w:ascii="Arial" w:eastAsia="宋体" w:hAnsi="Arial" w:cs="Arial"/>
                <w:color w:val="545454"/>
                <w:kern w:val="0"/>
                <w:sz w:val="15"/>
                <w:szCs w:val="15"/>
              </w:rPr>
              <w:t>居（里）委会</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社区用房</w:t>
            </w:r>
            <w:r w:rsidRPr="00642D4D">
              <w:rPr>
                <w:rFonts w:ascii="Arial" w:eastAsia="宋体" w:hAnsi="Arial" w:cs="Arial"/>
                <w:color w:val="545454"/>
                <w:kern w:val="0"/>
                <w:sz w:val="15"/>
                <w:szCs w:val="15"/>
                <w:u w:val="single"/>
              </w:rPr>
              <w:t>)</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300</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u w:val="single"/>
              </w:rPr>
              <w:t>1000</w:t>
            </w:r>
            <w:r w:rsidRPr="00642D4D">
              <w:rPr>
                <w:rFonts w:ascii="Arial" w:eastAsia="宋体" w:hAnsi="Arial" w:cs="Arial"/>
                <w:color w:val="545454"/>
                <w:kern w:val="0"/>
                <w:sz w:val="15"/>
                <w:szCs w:val="15"/>
              </w:rPr>
              <w:t>户设一处</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50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13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(31)</w:t>
            </w:r>
            <w:r w:rsidRPr="00642D4D">
              <w:rPr>
                <w:rFonts w:ascii="Arial" w:eastAsia="宋体" w:hAnsi="Arial" w:cs="Arial"/>
                <w:color w:val="545454"/>
                <w:kern w:val="0"/>
                <w:sz w:val="15"/>
                <w:szCs w:val="15"/>
                <w:u w:val="single"/>
              </w:rPr>
              <w:t>物业管理</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建筑与设备维修、保安、绿化、环卫管理等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5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300</w:t>
            </w:r>
            <w:r w:rsidRPr="00642D4D">
              <w:rPr>
                <w:rFonts w:ascii="Arial" w:eastAsia="宋体" w:hAnsi="Arial" w:cs="Arial"/>
                <w:color w:val="545454"/>
                <w:kern w:val="0"/>
                <w:sz w:val="15"/>
                <w:szCs w:val="15"/>
                <w:u w:val="single"/>
              </w:rPr>
              <w:t>～</w:t>
            </w:r>
            <w:r w:rsidRPr="00642D4D">
              <w:rPr>
                <w:rFonts w:ascii="Arial" w:eastAsia="宋体" w:hAnsi="Arial" w:cs="Arial"/>
                <w:color w:val="545454"/>
                <w:kern w:val="0"/>
                <w:sz w:val="15"/>
                <w:szCs w:val="15"/>
                <w:u w:val="single"/>
              </w:rPr>
              <w:t>500</w:t>
            </w:r>
          </w:p>
        </w:tc>
        <w:tc>
          <w:tcPr>
            <w:tcW w:w="650" w:type="pct"/>
            <w:gridSpan w:val="2"/>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300</w:t>
            </w:r>
          </w:p>
        </w:tc>
      </w:tr>
      <w:tr w:rsidR="00642D4D" w:rsidRPr="00642D4D" w:rsidTr="00642D4D">
        <w:trPr>
          <w:cantSplit/>
        </w:trPr>
        <w:tc>
          <w:tcPr>
            <w:tcW w:w="250" w:type="pct"/>
            <w:vMerge w:val="restart"/>
            <w:tcBorders>
              <w:top w:val="outset" w:sz="6" w:space="0" w:color="ECE9D8"/>
              <w:left w:val="double" w:sz="6" w:space="0" w:color="000000"/>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市</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政</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公</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用</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(32)</w:t>
            </w:r>
            <w:r w:rsidRPr="00642D4D">
              <w:rPr>
                <w:rFonts w:ascii="Arial" w:eastAsia="宋体" w:hAnsi="Arial" w:cs="Arial"/>
                <w:color w:val="545454"/>
                <w:kern w:val="0"/>
                <w:sz w:val="15"/>
                <w:szCs w:val="15"/>
                <w:u w:val="single"/>
              </w:rPr>
              <w:t>供热站或热交换站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250" w:type="pct"/>
            <w:gridSpan w:val="3"/>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根据采暖方式确定</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(33)</w:t>
            </w:r>
            <w:r w:rsidRPr="00642D4D">
              <w:rPr>
                <w:rFonts w:ascii="Arial" w:eastAsia="宋体" w:hAnsi="Arial" w:cs="Arial"/>
                <w:color w:val="545454"/>
                <w:kern w:val="0"/>
                <w:sz w:val="15"/>
                <w:szCs w:val="15"/>
              </w:rPr>
              <w:t>变电室</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每个变电室负荷半径不应大于</w:t>
            </w:r>
            <w:r w:rsidRPr="00642D4D">
              <w:rPr>
                <w:rFonts w:ascii="Arial" w:eastAsia="宋体" w:hAnsi="Arial" w:cs="Arial"/>
                <w:color w:val="545454"/>
                <w:kern w:val="0"/>
                <w:sz w:val="15"/>
                <w:szCs w:val="15"/>
              </w:rPr>
              <w:t>250m</w:t>
            </w:r>
            <w:r w:rsidRPr="00642D4D">
              <w:rPr>
                <w:rFonts w:ascii="Arial" w:eastAsia="宋体" w:hAnsi="Arial" w:cs="Arial"/>
                <w:color w:val="545454"/>
                <w:kern w:val="0"/>
                <w:sz w:val="15"/>
                <w:szCs w:val="15"/>
              </w:rPr>
              <w:t>；尽可能设于其他建筑内</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30~50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 </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(34)</w:t>
            </w:r>
            <w:r w:rsidRPr="00642D4D">
              <w:rPr>
                <w:rFonts w:ascii="Arial" w:eastAsia="宋体" w:hAnsi="Arial" w:cs="Arial"/>
                <w:color w:val="545454"/>
                <w:kern w:val="0"/>
                <w:sz w:val="15"/>
                <w:szCs w:val="15"/>
              </w:rPr>
              <w:t>开闭所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1. 2</w:t>
            </w:r>
            <w:r w:rsidRPr="00642D4D">
              <w:rPr>
                <w:rFonts w:ascii="Arial" w:eastAsia="宋体" w:hAnsi="Arial" w:cs="Arial"/>
                <w:color w:val="545454"/>
                <w:kern w:val="0"/>
                <w:sz w:val="15"/>
                <w:szCs w:val="15"/>
              </w:rPr>
              <w:t>万</w:t>
            </w:r>
            <w:r w:rsidRPr="00642D4D">
              <w:rPr>
                <w:rFonts w:ascii="Arial" w:eastAsia="宋体" w:hAnsi="Arial" w:cs="Arial"/>
                <w:color w:val="545454"/>
                <w:kern w:val="0"/>
                <w:sz w:val="15"/>
                <w:szCs w:val="15"/>
              </w:rPr>
              <w:t>~2. 0</w:t>
            </w:r>
            <w:r w:rsidRPr="00642D4D">
              <w:rPr>
                <w:rFonts w:ascii="Arial" w:eastAsia="宋体" w:hAnsi="Arial" w:cs="Arial"/>
                <w:color w:val="545454"/>
                <w:kern w:val="0"/>
                <w:sz w:val="15"/>
                <w:szCs w:val="15"/>
              </w:rPr>
              <w:t>万户设一所；独立设置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200~300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≥500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(35)</w:t>
            </w:r>
            <w:r w:rsidRPr="00642D4D">
              <w:rPr>
                <w:rFonts w:ascii="Arial" w:eastAsia="宋体" w:hAnsi="Arial" w:cs="Arial"/>
                <w:color w:val="545454"/>
                <w:kern w:val="0"/>
                <w:sz w:val="15"/>
                <w:szCs w:val="15"/>
              </w:rPr>
              <w:t>路灯配电室</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可与变电室合设于其他建筑内</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20~40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 </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(36)</w:t>
            </w:r>
            <w:r w:rsidRPr="00642D4D">
              <w:rPr>
                <w:rFonts w:ascii="Arial" w:eastAsia="宋体" w:hAnsi="Arial" w:cs="Arial"/>
                <w:color w:val="545454"/>
                <w:kern w:val="0"/>
                <w:sz w:val="15"/>
                <w:szCs w:val="15"/>
              </w:rPr>
              <w:t>煤气调压站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按每个中低调压站负荷半径</w:t>
            </w:r>
            <w:r w:rsidRPr="00642D4D">
              <w:rPr>
                <w:rFonts w:ascii="Arial" w:eastAsia="宋体" w:hAnsi="Arial" w:cs="Arial"/>
                <w:color w:val="545454"/>
                <w:kern w:val="0"/>
                <w:sz w:val="15"/>
                <w:szCs w:val="15"/>
              </w:rPr>
              <w:t>500m</w:t>
            </w:r>
            <w:r w:rsidRPr="00642D4D">
              <w:rPr>
                <w:rFonts w:ascii="Arial" w:eastAsia="宋体" w:hAnsi="Arial" w:cs="Arial"/>
                <w:color w:val="545454"/>
                <w:kern w:val="0"/>
                <w:sz w:val="15"/>
                <w:szCs w:val="15"/>
              </w:rPr>
              <w:t>设置；无管道煤气地区不设</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50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100~120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(37)</w:t>
            </w:r>
            <w:r w:rsidRPr="00642D4D">
              <w:rPr>
                <w:rFonts w:ascii="Arial" w:eastAsia="宋体" w:hAnsi="Arial" w:cs="Arial"/>
                <w:color w:val="545454"/>
                <w:kern w:val="0"/>
                <w:sz w:val="15"/>
                <w:szCs w:val="15"/>
              </w:rPr>
              <w:t>高压水泵房</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一般为低水压区住宅加压供水附属工程</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40~60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(38)</w:t>
            </w:r>
            <w:r w:rsidRPr="00642D4D">
              <w:rPr>
                <w:rFonts w:ascii="Arial" w:eastAsia="宋体" w:hAnsi="Arial" w:cs="Arial"/>
                <w:color w:val="545454"/>
                <w:kern w:val="0"/>
                <w:sz w:val="15"/>
                <w:szCs w:val="15"/>
              </w:rPr>
              <w:t>公共厕所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每</w:t>
            </w:r>
            <w:r w:rsidRPr="00642D4D">
              <w:rPr>
                <w:rFonts w:ascii="Arial" w:eastAsia="宋体" w:hAnsi="Arial" w:cs="Arial"/>
                <w:color w:val="545454"/>
                <w:kern w:val="0"/>
                <w:sz w:val="15"/>
                <w:szCs w:val="15"/>
              </w:rPr>
              <w:t>1000~1500</w:t>
            </w:r>
            <w:r w:rsidRPr="00642D4D">
              <w:rPr>
                <w:rFonts w:ascii="Arial" w:eastAsia="宋体" w:hAnsi="Arial" w:cs="Arial"/>
                <w:color w:val="545454"/>
                <w:kern w:val="0"/>
                <w:sz w:val="15"/>
                <w:szCs w:val="15"/>
              </w:rPr>
              <w:t>户设一处；宜设于人流集中之处</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30~60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60~100</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(39)</w:t>
            </w:r>
            <w:r w:rsidRPr="00642D4D">
              <w:rPr>
                <w:rFonts w:ascii="Arial" w:eastAsia="宋体" w:hAnsi="Arial" w:cs="Arial"/>
                <w:color w:val="545454"/>
                <w:kern w:val="0"/>
                <w:sz w:val="15"/>
                <w:szCs w:val="15"/>
              </w:rPr>
              <w:t>垃圾转运站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应采用封闭式设施，力求垃圾存放和转运不外露</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当用地规模为</w:t>
            </w:r>
            <w:r w:rsidRPr="00642D4D">
              <w:rPr>
                <w:rFonts w:ascii="Arial" w:eastAsia="宋体" w:hAnsi="Arial" w:cs="Arial"/>
                <w:color w:val="545454"/>
                <w:kern w:val="0"/>
                <w:sz w:val="15"/>
                <w:szCs w:val="15"/>
              </w:rPr>
              <w:t>0. 7~1km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设一处，每处面积不应小于</w:t>
            </w:r>
            <w:r w:rsidRPr="00642D4D">
              <w:rPr>
                <w:rFonts w:ascii="Arial" w:eastAsia="宋体" w:hAnsi="Arial" w:cs="Arial"/>
                <w:color w:val="545454"/>
                <w:kern w:val="0"/>
                <w:sz w:val="15"/>
                <w:szCs w:val="15"/>
              </w:rPr>
              <w:t>100 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，与周围建筑物的间隔不应小于</w:t>
            </w:r>
            <w:r w:rsidRPr="00642D4D">
              <w:rPr>
                <w:rFonts w:ascii="Arial" w:eastAsia="宋体" w:hAnsi="Arial" w:cs="Arial"/>
                <w:color w:val="545454"/>
                <w:kern w:val="0"/>
                <w:sz w:val="15"/>
                <w:szCs w:val="15"/>
              </w:rPr>
              <w:t>5m</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(40)</w:t>
            </w:r>
            <w:r w:rsidRPr="00642D4D">
              <w:rPr>
                <w:rFonts w:ascii="Arial" w:eastAsia="宋体" w:hAnsi="Arial" w:cs="Arial"/>
                <w:color w:val="545454"/>
                <w:kern w:val="0"/>
                <w:sz w:val="15"/>
                <w:szCs w:val="15"/>
                <w:u w:val="single"/>
              </w:rPr>
              <w:t>垃圾收集点</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服务半径不应大于</w:t>
            </w:r>
            <w:r w:rsidRPr="00642D4D">
              <w:rPr>
                <w:rFonts w:ascii="Arial" w:eastAsia="宋体" w:hAnsi="Arial" w:cs="Arial"/>
                <w:color w:val="545454"/>
                <w:kern w:val="0"/>
                <w:sz w:val="15"/>
                <w:szCs w:val="15"/>
                <w:u w:val="single"/>
              </w:rPr>
              <w:t>70m</w:t>
            </w:r>
            <w:r w:rsidRPr="00642D4D">
              <w:rPr>
                <w:rFonts w:ascii="Arial" w:eastAsia="宋体" w:hAnsi="Arial" w:cs="Arial"/>
                <w:color w:val="545454"/>
                <w:kern w:val="0"/>
                <w:sz w:val="15"/>
                <w:szCs w:val="15"/>
                <w:u w:val="single"/>
              </w:rPr>
              <w:t>，宜采用分类收集</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(41)</w:t>
            </w:r>
            <w:r w:rsidRPr="00642D4D">
              <w:rPr>
                <w:rFonts w:ascii="Arial" w:eastAsia="宋体" w:hAnsi="Arial" w:cs="Arial"/>
                <w:color w:val="545454"/>
                <w:kern w:val="0"/>
                <w:sz w:val="15"/>
                <w:szCs w:val="15"/>
              </w:rPr>
              <w:t>居民存车处</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存放自行车、摩托车</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宜设于组团或靠近组团设置，可与居</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里</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委会合设于组团的入口处</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1~2</w:t>
            </w:r>
            <w:r w:rsidRPr="00642D4D">
              <w:rPr>
                <w:rFonts w:ascii="Arial" w:eastAsia="宋体" w:hAnsi="Arial" w:cs="Arial"/>
                <w:color w:val="545454"/>
                <w:kern w:val="0"/>
                <w:sz w:val="15"/>
                <w:szCs w:val="15"/>
              </w:rPr>
              <w:t>辆</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户；地上</w:t>
            </w:r>
            <w:r w:rsidRPr="00642D4D">
              <w:rPr>
                <w:rFonts w:ascii="Arial" w:eastAsia="宋体" w:hAnsi="Arial" w:cs="Arial"/>
                <w:color w:val="545454"/>
                <w:kern w:val="0"/>
                <w:sz w:val="15"/>
                <w:szCs w:val="15"/>
              </w:rPr>
              <w:t>0. 8~1. 2 m</w:t>
            </w:r>
            <w:r w:rsidRPr="00642D4D">
              <w:rPr>
                <w:rFonts w:ascii="Arial" w:eastAsia="宋体" w:hAnsi="Arial" w:cs="Arial"/>
                <w:color w:val="545454"/>
                <w:kern w:val="0"/>
                <w:sz w:val="15"/>
                <w:szCs w:val="15"/>
                <w:vertAlign w:val="superscript"/>
              </w:rPr>
              <w:t>2</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辆；地下</w:t>
            </w:r>
            <w:r w:rsidRPr="00642D4D">
              <w:rPr>
                <w:rFonts w:ascii="Arial" w:eastAsia="宋体" w:hAnsi="Arial" w:cs="Arial"/>
                <w:color w:val="545454"/>
                <w:kern w:val="0"/>
                <w:sz w:val="15"/>
                <w:szCs w:val="15"/>
              </w:rPr>
              <w:t>1. 5~1. 8</w:t>
            </w:r>
            <w:r w:rsidRPr="00642D4D">
              <w:rPr>
                <w:rFonts w:ascii="Arial" w:eastAsia="宋体" w:hAnsi="Arial" w:cs="Arial"/>
                <w:color w:val="545454"/>
                <w:kern w:val="0"/>
                <w:sz w:val="15"/>
                <w:szCs w:val="15"/>
              </w:rPr>
              <w:t>平方米</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辆</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 </w:t>
            </w:r>
          </w:p>
        </w:tc>
      </w:tr>
      <w:tr w:rsidR="00642D4D" w:rsidRPr="00642D4D" w:rsidTr="00642D4D">
        <w:trPr>
          <w:cantSplit/>
          <w:trHeight w:val="79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(42)</w:t>
            </w:r>
            <w:r w:rsidRPr="00642D4D">
              <w:rPr>
                <w:rFonts w:ascii="Arial" w:eastAsia="宋体" w:hAnsi="Arial" w:cs="Arial"/>
                <w:color w:val="545454"/>
                <w:kern w:val="0"/>
                <w:sz w:val="15"/>
                <w:szCs w:val="15"/>
                <w:u w:val="single"/>
              </w:rPr>
              <w:t>居民停车场、库</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存放机动车</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服务半径不宜大于</w:t>
            </w:r>
            <w:r w:rsidRPr="00642D4D">
              <w:rPr>
                <w:rFonts w:ascii="Arial" w:eastAsia="宋体" w:hAnsi="Arial" w:cs="Arial"/>
                <w:color w:val="545454"/>
                <w:kern w:val="0"/>
                <w:sz w:val="15"/>
                <w:szCs w:val="15"/>
                <w:u w:val="single"/>
              </w:rPr>
              <w:t>150m</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76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(43)</w:t>
            </w:r>
            <w:r w:rsidRPr="00642D4D">
              <w:rPr>
                <w:rFonts w:ascii="Arial" w:eastAsia="宋体" w:hAnsi="Arial" w:cs="Arial"/>
                <w:color w:val="545454"/>
                <w:kern w:val="0"/>
                <w:sz w:val="15"/>
                <w:szCs w:val="15"/>
              </w:rPr>
              <w:t>公交始末站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可根据具体情况设置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210"/>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(44)</w:t>
            </w:r>
            <w:r w:rsidRPr="00642D4D">
              <w:rPr>
                <w:rFonts w:ascii="Arial" w:eastAsia="宋体" w:hAnsi="Arial" w:cs="Arial"/>
                <w:color w:val="545454"/>
                <w:kern w:val="0"/>
                <w:sz w:val="15"/>
                <w:szCs w:val="15"/>
              </w:rPr>
              <w:t>消防站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可根据具体情况设置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1125"/>
        </w:trPr>
        <w:tc>
          <w:tcPr>
            <w:tcW w:w="0" w:type="auto"/>
            <w:vMerge/>
            <w:tcBorders>
              <w:top w:val="outset" w:sz="6" w:space="0" w:color="ECE9D8"/>
              <w:left w:val="double" w:sz="6" w:space="0" w:color="000000"/>
              <w:bottom w:val="single" w:sz="8"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(45)</w:t>
            </w:r>
            <w:r w:rsidRPr="00642D4D">
              <w:rPr>
                <w:rFonts w:ascii="Arial" w:eastAsia="宋体" w:hAnsi="Arial" w:cs="Arial"/>
                <w:color w:val="545454"/>
                <w:kern w:val="0"/>
                <w:sz w:val="15"/>
                <w:szCs w:val="15"/>
                <w:u w:val="single"/>
              </w:rPr>
              <w:t>燃料供应站</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煤或罐装燃气</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可根据具体情况设置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435"/>
        </w:trPr>
        <w:tc>
          <w:tcPr>
            <w:tcW w:w="250" w:type="pct"/>
            <w:vMerge w:val="restart"/>
            <w:tcBorders>
              <w:top w:val="outset" w:sz="6" w:space="0" w:color="ECE9D8"/>
              <w:left w:val="double" w:sz="6" w:space="0" w:color="000000"/>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lastRenderedPageBreak/>
              <w:t>行</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政</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管</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理</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及</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其</w:t>
            </w:r>
          </w:p>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它</w:t>
            </w: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(46)</w:t>
            </w:r>
            <w:r w:rsidRPr="00642D4D">
              <w:rPr>
                <w:rFonts w:ascii="Arial" w:eastAsia="宋体" w:hAnsi="Arial" w:cs="Arial"/>
                <w:color w:val="545454"/>
                <w:kern w:val="0"/>
                <w:sz w:val="15"/>
                <w:szCs w:val="15"/>
              </w:rPr>
              <w:t>街道办事处</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 </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万</w:t>
            </w:r>
            <w:r w:rsidRPr="00642D4D">
              <w:rPr>
                <w:rFonts w:ascii="Arial" w:eastAsia="宋体" w:hAnsi="Arial" w:cs="Arial"/>
                <w:color w:val="545454"/>
                <w:kern w:val="0"/>
                <w:sz w:val="15"/>
                <w:szCs w:val="15"/>
              </w:rPr>
              <w:t>~5</w:t>
            </w:r>
            <w:r w:rsidRPr="00642D4D">
              <w:rPr>
                <w:rFonts w:ascii="Arial" w:eastAsia="宋体" w:hAnsi="Arial" w:cs="Arial"/>
                <w:color w:val="545454"/>
                <w:kern w:val="0"/>
                <w:sz w:val="15"/>
                <w:szCs w:val="15"/>
              </w:rPr>
              <w:t>万人设一处</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700~1200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300~500</w:t>
            </w:r>
          </w:p>
        </w:tc>
      </w:tr>
      <w:tr w:rsidR="00642D4D" w:rsidRPr="00642D4D" w:rsidTr="00642D4D">
        <w:trPr>
          <w:cantSplit/>
          <w:trHeight w:val="915"/>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(47)</w:t>
            </w:r>
            <w:r w:rsidRPr="00642D4D">
              <w:rPr>
                <w:rFonts w:ascii="Arial" w:eastAsia="宋体" w:hAnsi="Arial" w:cs="Arial"/>
                <w:color w:val="545454"/>
                <w:kern w:val="0"/>
                <w:sz w:val="15"/>
                <w:szCs w:val="15"/>
              </w:rPr>
              <w:t>市政管理机构</w:t>
            </w:r>
            <w:r w:rsidRPr="00642D4D">
              <w:rPr>
                <w:rFonts w:ascii="Arial" w:eastAsia="宋体" w:hAnsi="Arial" w:cs="Arial"/>
                <w:color w:val="545454"/>
                <w:kern w:val="0"/>
                <w:sz w:val="15"/>
                <w:szCs w:val="15"/>
              </w:rPr>
              <w:t>(</w:t>
            </w:r>
            <w:r w:rsidRPr="00642D4D">
              <w:rPr>
                <w:rFonts w:ascii="Arial" w:eastAsia="宋体" w:hAnsi="Arial" w:cs="Arial"/>
                <w:color w:val="545454"/>
                <w:kern w:val="0"/>
                <w:sz w:val="15"/>
                <w:szCs w:val="15"/>
              </w:rPr>
              <w:t>所</w:t>
            </w:r>
            <w:r w:rsidRPr="00642D4D">
              <w:rPr>
                <w:rFonts w:ascii="Arial" w:eastAsia="宋体" w:hAnsi="Arial" w:cs="Arial"/>
                <w:color w:val="545454"/>
                <w:kern w:val="0"/>
                <w:sz w:val="15"/>
                <w:szCs w:val="15"/>
              </w:rPr>
              <w:t>)</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供电、供水、雨污水、</w:t>
            </w:r>
            <w:r w:rsidRPr="00642D4D">
              <w:rPr>
                <w:rFonts w:ascii="Arial" w:eastAsia="宋体" w:hAnsi="Arial" w:cs="Arial"/>
                <w:color w:val="545454"/>
                <w:kern w:val="0"/>
                <w:sz w:val="15"/>
                <w:szCs w:val="15"/>
                <w:u w:val="single"/>
              </w:rPr>
              <w:t>绿化、环卫</w:t>
            </w:r>
            <w:r w:rsidRPr="00642D4D">
              <w:rPr>
                <w:rFonts w:ascii="Arial" w:eastAsia="宋体" w:hAnsi="Arial" w:cs="Arial"/>
                <w:color w:val="545454"/>
                <w:kern w:val="0"/>
                <w:sz w:val="15"/>
                <w:szCs w:val="15"/>
              </w:rPr>
              <w:t>等管理与维修</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宜合并设置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r w:rsidR="00642D4D" w:rsidRPr="00642D4D" w:rsidTr="00642D4D">
        <w:trPr>
          <w:cantSplit/>
          <w:trHeight w:val="12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(48)</w:t>
            </w:r>
            <w:r w:rsidRPr="00642D4D">
              <w:rPr>
                <w:rFonts w:ascii="Arial" w:eastAsia="宋体" w:hAnsi="Arial" w:cs="Arial"/>
                <w:color w:val="545454"/>
                <w:kern w:val="0"/>
                <w:sz w:val="15"/>
                <w:szCs w:val="15"/>
              </w:rPr>
              <w:t>派出所</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户籍治安管理</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3</w:t>
            </w:r>
            <w:r w:rsidRPr="00642D4D">
              <w:rPr>
                <w:rFonts w:ascii="Arial" w:eastAsia="宋体" w:hAnsi="Arial" w:cs="Arial"/>
                <w:color w:val="545454"/>
                <w:kern w:val="0"/>
                <w:sz w:val="15"/>
                <w:szCs w:val="15"/>
              </w:rPr>
              <w:t>万人</w:t>
            </w:r>
            <w:r w:rsidRPr="00642D4D">
              <w:rPr>
                <w:rFonts w:ascii="Arial" w:eastAsia="宋体" w:hAnsi="Arial" w:cs="Arial"/>
                <w:color w:val="545454"/>
                <w:kern w:val="0"/>
                <w:sz w:val="15"/>
                <w:szCs w:val="15"/>
              </w:rPr>
              <w:t>~5</w:t>
            </w:r>
            <w:r w:rsidRPr="00642D4D">
              <w:rPr>
                <w:rFonts w:ascii="Arial" w:eastAsia="宋体" w:hAnsi="Arial" w:cs="Arial"/>
                <w:color w:val="545454"/>
                <w:kern w:val="0"/>
                <w:sz w:val="15"/>
                <w:szCs w:val="15"/>
              </w:rPr>
              <w:t>万人设一处；宜有独立院落</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700~1000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600</w:t>
            </w:r>
          </w:p>
        </w:tc>
      </w:tr>
      <w:tr w:rsidR="00642D4D" w:rsidRPr="00642D4D" w:rsidTr="00642D4D">
        <w:trPr>
          <w:cantSplit/>
          <w:trHeight w:val="162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(49)</w:t>
            </w:r>
            <w:r w:rsidRPr="00642D4D">
              <w:rPr>
                <w:rFonts w:ascii="Arial" w:eastAsia="宋体" w:hAnsi="Arial" w:cs="Arial"/>
                <w:color w:val="545454"/>
                <w:kern w:val="0"/>
                <w:sz w:val="15"/>
                <w:szCs w:val="15"/>
                <w:u w:val="single"/>
              </w:rPr>
              <w:t>其他管理用房</w:t>
            </w:r>
          </w:p>
        </w:tc>
        <w:tc>
          <w:tcPr>
            <w:tcW w:w="10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市场、工商税务、粮食管理等</w:t>
            </w:r>
          </w:p>
        </w:tc>
        <w:tc>
          <w:tcPr>
            <w:tcW w:w="1700" w:type="pct"/>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3</w:t>
            </w:r>
            <w:r w:rsidRPr="00642D4D">
              <w:rPr>
                <w:rFonts w:ascii="Arial" w:eastAsia="宋体" w:hAnsi="Arial" w:cs="Arial"/>
                <w:color w:val="545454"/>
                <w:kern w:val="0"/>
                <w:sz w:val="15"/>
                <w:szCs w:val="15"/>
                <w:u w:val="single"/>
              </w:rPr>
              <w:t>万人</w:t>
            </w:r>
            <w:r w:rsidRPr="00642D4D">
              <w:rPr>
                <w:rFonts w:ascii="Arial" w:eastAsia="宋体" w:hAnsi="Arial" w:cs="Arial"/>
                <w:color w:val="545454"/>
                <w:kern w:val="0"/>
                <w:sz w:val="15"/>
                <w:szCs w:val="15"/>
                <w:u w:val="single"/>
              </w:rPr>
              <w:t>~5</w:t>
            </w:r>
            <w:r w:rsidRPr="00642D4D">
              <w:rPr>
                <w:rFonts w:ascii="Arial" w:eastAsia="宋体" w:hAnsi="Arial" w:cs="Arial"/>
                <w:color w:val="545454"/>
                <w:kern w:val="0"/>
                <w:sz w:val="15"/>
                <w:szCs w:val="15"/>
                <w:u w:val="single"/>
              </w:rPr>
              <w:t>万人设一处；可结合市场或街道办事处设置</w:t>
            </w:r>
          </w:p>
        </w:tc>
        <w:tc>
          <w:tcPr>
            <w:tcW w:w="700" w:type="pct"/>
            <w:gridSpan w:val="2"/>
            <w:tcBorders>
              <w:top w:val="outset" w:sz="6" w:space="0" w:color="ECE9D8"/>
              <w:left w:val="outset" w:sz="6" w:space="0" w:color="ECE9D8"/>
              <w:bottom w:val="single" w:sz="8"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100</w:t>
            </w:r>
          </w:p>
        </w:tc>
        <w:tc>
          <w:tcPr>
            <w:tcW w:w="500" w:type="pct"/>
            <w:tcBorders>
              <w:top w:val="outset" w:sz="6" w:space="0" w:color="ECE9D8"/>
              <w:left w:val="outset" w:sz="6" w:space="0" w:color="ECE9D8"/>
              <w:bottom w:val="single" w:sz="8"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u w:val="single"/>
              </w:rPr>
              <w:t>—</w:t>
            </w:r>
          </w:p>
        </w:tc>
      </w:tr>
      <w:tr w:rsidR="00642D4D" w:rsidRPr="00642D4D" w:rsidTr="00642D4D">
        <w:trPr>
          <w:cantSplit/>
          <w:trHeight w:val="2010"/>
        </w:trPr>
        <w:tc>
          <w:tcPr>
            <w:tcW w:w="0" w:type="auto"/>
            <w:vMerge/>
            <w:tcBorders>
              <w:top w:val="outset" w:sz="6" w:space="0" w:color="ECE9D8"/>
              <w:left w:val="double" w:sz="6" w:space="0" w:color="000000"/>
              <w:bottom w:val="double" w:sz="6" w:space="0" w:color="000000"/>
              <w:right w:val="single" w:sz="8" w:space="0" w:color="000000"/>
            </w:tcBorders>
            <w:vAlign w:val="center"/>
            <w:hideMark/>
          </w:tcPr>
          <w:p w:rsidR="00642D4D" w:rsidRPr="00642D4D" w:rsidRDefault="00642D4D" w:rsidP="00642D4D">
            <w:pPr>
              <w:widowControl/>
              <w:jc w:val="left"/>
              <w:rPr>
                <w:rFonts w:ascii="Arial" w:eastAsia="宋体" w:hAnsi="Arial" w:cs="Arial"/>
                <w:color w:val="545454"/>
                <w:kern w:val="0"/>
                <w:sz w:val="15"/>
                <w:szCs w:val="15"/>
              </w:rPr>
            </w:pPr>
          </w:p>
        </w:tc>
        <w:tc>
          <w:tcPr>
            <w:tcW w:w="6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(71)</w:t>
            </w:r>
            <w:r w:rsidRPr="00642D4D">
              <w:rPr>
                <w:rFonts w:ascii="Arial" w:eastAsia="宋体" w:hAnsi="Arial" w:cs="Arial"/>
                <w:color w:val="545454"/>
                <w:kern w:val="0"/>
                <w:sz w:val="15"/>
                <w:szCs w:val="15"/>
              </w:rPr>
              <w:t>防空地下室</w:t>
            </w:r>
          </w:p>
        </w:tc>
        <w:tc>
          <w:tcPr>
            <w:tcW w:w="10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掩蔽体、救护站、指挥所等</w:t>
            </w:r>
          </w:p>
        </w:tc>
        <w:tc>
          <w:tcPr>
            <w:tcW w:w="1700" w:type="pct"/>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在国家确定的一、二类人防重点城市中，凡高层建筑下设满堂人防，另以地面建筑面积</w:t>
            </w:r>
            <w:r w:rsidRPr="00642D4D">
              <w:rPr>
                <w:rFonts w:ascii="Arial" w:eastAsia="宋体" w:hAnsi="Arial" w:cs="Arial"/>
                <w:color w:val="545454"/>
                <w:kern w:val="0"/>
                <w:sz w:val="15"/>
                <w:szCs w:val="15"/>
              </w:rPr>
              <w:t>2%</w:t>
            </w:r>
            <w:r w:rsidRPr="00642D4D">
              <w:rPr>
                <w:rFonts w:ascii="Arial" w:eastAsia="宋体" w:hAnsi="Arial" w:cs="Arial"/>
                <w:color w:val="545454"/>
                <w:kern w:val="0"/>
                <w:sz w:val="15"/>
                <w:szCs w:val="15"/>
              </w:rPr>
              <w:t>配建。出入口宜设于交通方便的地段，考虑平战结合</w:t>
            </w:r>
          </w:p>
        </w:tc>
        <w:tc>
          <w:tcPr>
            <w:tcW w:w="700" w:type="pct"/>
            <w:gridSpan w:val="2"/>
            <w:tcBorders>
              <w:top w:val="outset" w:sz="6" w:space="0" w:color="ECE9D8"/>
              <w:left w:val="outset" w:sz="6" w:space="0" w:color="ECE9D8"/>
              <w:bottom w:val="double" w:sz="6" w:space="0" w:color="000000"/>
              <w:right w:val="single" w:sz="8"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c>
          <w:tcPr>
            <w:tcW w:w="500" w:type="pct"/>
            <w:tcBorders>
              <w:top w:val="outset" w:sz="6" w:space="0" w:color="ECE9D8"/>
              <w:left w:val="outset" w:sz="6" w:space="0" w:color="ECE9D8"/>
              <w:bottom w:val="double" w:sz="6" w:space="0" w:color="000000"/>
              <w:right w:val="double" w:sz="6" w:space="0" w:color="000000"/>
            </w:tcBorders>
            <w:shd w:val="clear" w:color="auto" w:fill="auto"/>
            <w:tcMar>
              <w:top w:w="105" w:type="dxa"/>
              <w:left w:w="105" w:type="dxa"/>
              <w:bottom w:w="105" w:type="dxa"/>
              <w:right w:w="105" w:type="dxa"/>
            </w:tcMar>
            <w:vAlign w:val="center"/>
            <w:hideMark/>
          </w:tcPr>
          <w:p w:rsidR="00642D4D" w:rsidRPr="00642D4D" w:rsidRDefault="00642D4D" w:rsidP="00642D4D">
            <w:pPr>
              <w:widowControl/>
              <w:spacing w:line="193" w:lineRule="atLeast"/>
              <w:jc w:val="center"/>
              <w:rPr>
                <w:rFonts w:ascii="Arial" w:eastAsia="宋体" w:hAnsi="Arial" w:cs="Arial"/>
                <w:color w:val="545454"/>
                <w:kern w:val="0"/>
                <w:sz w:val="15"/>
                <w:szCs w:val="15"/>
              </w:rPr>
            </w:pPr>
            <w:r w:rsidRPr="00642D4D">
              <w:rPr>
                <w:rFonts w:ascii="Arial" w:eastAsia="宋体" w:hAnsi="Arial" w:cs="Arial"/>
                <w:color w:val="545454"/>
                <w:kern w:val="0"/>
                <w:sz w:val="15"/>
                <w:szCs w:val="15"/>
              </w:rPr>
              <w:t>—</w:t>
            </w:r>
          </w:p>
        </w:tc>
      </w:tr>
    </w:tbl>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附录B 本规范用词说明</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B.0.1 为便于在执行本规范条文时区别对待，对要求严格程度不同的用词说明如下：</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B.0.1.1 表示很严格，非这样不可的：</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正面词采用“必须”;</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反面词采用“严禁”。</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B.0.1.2 表示严格，在正常情况下均应这样做的：</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正面词采用“应”;</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反面词采用“不应”或“不得”。</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B.0.1.3表示允许稍有选择，在条件许可时首先应这样做的：</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正面词采用“宜”或“可”;</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反面词采用“不宜”。</w:t>
      </w:r>
    </w:p>
    <w:p w:rsidR="00642D4D" w:rsidRPr="00642D4D" w:rsidRDefault="00642D4D" w:rsidP="00642D4D">
      <w:pPr>
        <w:widowControl/>
        <w:spacing w:before="100" w:beforeAutospacing="1" w:after="100" w:afterAutospacing="1"/>
        <w:jc w:val="left"/>
        <w:rPr>
          <w:rFonts w:ascii="宋体" w:eastAsia="宋体" w:hAnsi="宋体" w:cs="宋体"/>
          <w:kern w:val="0"/>
          <w:sz w:val="15"/>
          <w:szCs w:val="15"/>
        </w:rPr>
      </w:pPr>
      <w:r w:rsidRPr="00642D4D">
        <w:rPr>
          <w:rFonts w:ascii="宋体" w:eastAsia="宋体" w:hAnsi="宋体" w:cs="宋体"/>
          <w:kern w:val="0"/>
          <w:sz w:val="15"/>
          <w:szCs w:val="15"/>
        </w:rPr>
        <w:t xml:space="preserve">　　B.0.2 条文中指定应按其它有关标准、规范执行时，写法为“应符合……的规定”。</w:t>
      </w:r>
    </w:p>
    <w:p w:rsidR="0092173D" w:rsidRPr="00642D4D" w:rsidRDefault="0092173D">
      <w:pPr>
        <w:rPr>
          <w:sz w:val="15"/>
          <w:szCs w:val="15"/>
        </w:rPr>
      </w:pPr>
    </w:p>
    <w:sectPr w:rsidR="0092173D" w:rsidRPr="00642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73D" w:rsidRDefault="0092173D" w:rsidP="00642D4D">
      <w:r>
        <w:separator/>
      </w:r>
    </w:p>
  </w:endnote>
  <w:endnote w:type="continuationSeparator" w:id="1">
    <w:p w:rsidR="0092173D" w:rsidRDefault="0092173D" w:rsidP="00642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73D" w:rsidRDefault="0092173D" w:rsidP="00642D4D">
      <w:r>
        <w:separator/>
      </w:r>
    </w:p>
  </w:footnote>
  <w:footnote w:type="continuationSeparator" w:id="1">
    <w:p w:rsidR="0092173D" w:rsidRDefault="0092173D" w:rsidP="00642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D4D"/>
    <w:rsid w:val="00642D4D"/>
    <w:rsid w:val="00921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D4D"/>
    <w:rPr>
      <w:sz w:val="18"/>
      <w:szCs w:val="18"/>
    </w:rPr>
  </w:style>
  <w:style w:type="paragraph" w:styleId="a4">
    <w:name w:val="footer"/>
    <w:basedOn w:val="a"/>
    <w:link w:val="Char0"/>
    <w:uiPriority w:val="99"/>
    <w:semiHidden/>
    <w:unhideWhenUsed/>
    <w:rsid w:val="00642D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D4D"/>
    <w:rPr>
      <w:sz w:val="18"/>
      <w:szCs w:val="18"/>
    </w:rPr>
  </w:style>
  <w:style w:type="paragraph" w:styleId="a5">
    <w:name w:val="Normal (Web)"/>
    <w:basedOn w:val="a"/>
    <w:uiPriority w:val="99"/>
    <w:semiHidden/>
    <w:unhideWhenUsed/>
    <w:rsid w:val="00642D4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42D4D"/>
  </w:style>
</w:styles>
</file>

<file path=word/webSettings.xml><?xml version="1.0" encoding="utf-8"?>
<w:webSettings xmlns:r="http://schemas.openxmlformats.org/officeDocument/2006/relationships" xmlns:w="http://schemas.openxmlformats.org/wordprocessingml/2006/main">
  <w:divs>
    <w:div w:id="1856337887">
      <w:bodyDiv w:val="1"/>
      <w:marLeft w:val="0"/>
      <w:marRight w:val="0"/>
      <w:marTop w:val="0"/>
      <w:marBottom w:val="0"/>
      <w:divBdr>
        <w:top w:val="none" w:sz="0" w:space="0" w:color="auto"/>
        <w:left w:val="none" w:sz="0" w:space="0" w:color="auto"/>
        <w:bottom w:val="none" w:sz="0" w:space="0" w:color="auto"/>
        <w:right w:val="none" w:sz="0" w:space="0" w:color="auto"/>
      </w:divBdr>
      <w:divsChild>
        <w:div w:id="1252279718">
          <w:marLeft w:val="0"/>
          <w:marRight w:val="0"/>
          <w:marTop w:val="0"/>
          <w:marBottom w:val="0"/>
          <w:divBdr>
            <w:top w:val="none" w:sz="0" w:space="0" w:color="auto"/>
            <w:left w:val="none" w:sz="0" w:space="0" w:color="auto"/>
            <w:bottom w:val="none" w:sz="0" w:space="0" w:color="auto"/>
            <w:right w:val="none" w:sz="0" w:space="0" w:color="auto"/>
          </w:divBdr>
        </w:div>
        <w:div w:id="109133118">
          <w:marLeft w:val="0"/>
          <w:marRight w:val="0"/>
          <w:marTop w:val="0"/>
          <w:marBottom w:val="0"/>
          <w:divBdr>
            <w:top w:val="none" w:sz="0" w:space="0" w:color="auto"/>
            <w:left w:val="none" w:sz="0" w:space="0" w:color="auto"/>
            <w:bottom w:val="none" w:sz="0" w:space="0" w:color="auto"/>
            <w:right w:val="none" w:sz="0" w:space="0" w:color="auto"/>
          </w:divBdr>
        </w:div>
        <w:div w:id="80026665">
          <w:marLeft w:val="0"/>
          <w:marRight w:val="0"/>
          <w:marTop w:val="0"/>
          <w:marBottom w:val="0"/>
          <w:divBdr>
            <w:top w:val="none" w:sz="0" w:space="0" w:color="auto"/>
            <w:left w:val="none" w:sz="0" w:space="0" w:color="auto"/>
            <w:bottom w:val="none" w:sz="0" w:space="0" w:color="auto"/>
            <w:right w:val="none" w:sz="0" w:space="0" w:color="auto"/>
          </w:divBdr>
        </w:div>
        <w:div w:id="1342319482">
          <w:marLeft w:val="0"/>
          <w:marRight w:val="0"/>
          <w:marTop w:val="0"/>
          <w:marBottom w:val="0"/>
          <w:divBdr>
            <w:top w:val="none" w:sz="0" w:space="0" w:color="auto"/>
            <w:left w:val="none" w:sz="0" w:space="0" w:color="auto"/>
            <w:bottom w:val="none" w:sz="0" w:space="0" w:color="auto"/>
            <w:right w:val="none" w:sz="0" w:space="0" w:color="auto"/>
          </w:divBdr>
        </w:div>
        <w:div w:id="107555806">
          <w:marLeft w:val="0"/>
          <w:marRight w:val="0"/>
          <w:marTop w:val="0"/>
          <w:marBottom w:val="0"/>
          <w:divBdr>
            <w:top w:val="none" w:sz="0" w:space="0" w:color="auto"/>
            <w:left w:val="none" w:sz="0" w:space="0" w:color="auto"/>
            <w:bottom w:val="none" w:sz="0" w:space="0" w:color="auto"/>
            <w:right w:val="none" w:sz="0" w:space="0" w:color="auto"/>
          </w:divBdr>
        </w:div>
        <w:div w:id="1767725518">
          <w:marLeft w:val="0"/>
          <w:marRight w:val="0"/>
          <w:marTop w:val="0"/>
          <w:marBottom w:val="0"/>
          <w:divBdr>
            <w:top w:val="none" w:sz="0" w:space="0" w:color="auto"/>
            <w:left w:val="none" w:sz="0" w:space="0" w:color="auto"/>
            <w:bottom w:val="none" w:sz="0" w:space="0" w:color="auto"/>
            <w:right w:val="none" w:sz="0" w:space="0" w:color="auto"/>
          </w:divBdr>
        </w:div>
        <w:div w:id="1394962952">
          <w:marLeft w:val="0"/>
          <w:marRight w:val="0"/>
          <w:marTop w:val="0"/>
          <w:marBottom w:val="0"/>
          <w:divBdr>
            <w:top w:val="none" w:sz="0" w:space="0" w:color="auto"/>
            <w:left w:val="none" w:sz="0" w:space="0" w:color="auto"/>
            <w:bottom w:val="none" w:sz="0" w:space="0" w:color="auto"/>
            <w:right w:val="none" w:sz="0" w:space="0" w:color="auto"/>
          </w:divBdr>
        </w:div>
        <w:div w:id="1185904380">
          <w:marLeft w:val="0"/>
          <w:marRight w:val="0"/>
          <w:marTop w:val="0"/>
          <w:marBottom w:val="0"/>
          <w:divBdr>
            <w:top w:val="none" w:sz="0" w:space="0" w:color="auto"/>
            <w:left w:val="none" w:sz="0" w:space="0" w:color="auto"/>
            <w:bottom w:val="none" w:sz="0" w:space="0" w:color="auto"/>
            <w:right w:val="none" w:sz="0" w:space="0" w:color="auto"/>
          </w:divBdr>
        </w:div>
        <w:div w:id="1502545662">
          <w:marLeft w:val="0"/>
          <w:marRight w:val="0"/>
          <w:marTop w:val="0"/>
          <w:marBottom w:val="0"/>
          <w:divBdr>
            <w:top w:val="none" w:sz="0" w:space="0" w:color="auto"/>
            <w:left w:val="none" w:sz="0" w:space="0" w:color="auto"/>
            <w:bottom w:val="none" w:sz="0" w:space="0" w:color="auto"/>
            <w:right w:val="none" w:sz="0" w:space="0" w:color="auto"/>
          </w:divBdr>
        </w:div>
        <w:div w:id="1411653874">
          <w:marLeft w:val="0"/>
          <w:marRight w:val="0"/>
          <w:marTop w:val="0"/>
          <w:marBottom w:val="0"/>
          <w:divBdr>
            <w:top w:val="none" w:sz="0" w:space="0" w:color="auto"/>
            <w:left w:val="none" w:sz="0" w:space="0" w:color="auto"/>
            <w:bottom w:val="none" w:sz="0" w:space="0" w:color="auto"/>
            <w:right w:val="none" w:sz="0" w:space="0" w:color="auto"/>
          </w:divBdr>
        </w:div>
        <w:div w:id="2025281579">
          <w:marLeft w:val="0"/>
          <w:marRight w:val="0"/>
          <w:marTop w:val="0"/>
          <w:marBottom w:val="0"/>
          <w:divBdr>
            <w:top w:val="none" w:sz="0" w:space="0" w:color="auto"/>
            <w:left w:val="none" w:sz="0" w:space="0" w:color="auto"/>
            <w:bottom w:val="none" w:sz="0" w:space="0" w:color="auto"/>
            <w:right w:val="none" w:sz="0" w:space="0" w:color="auto"/>
          </w:divBdr>
        </w:div>
        <w:div w:id="420875978">
          <w:marLeft w:val="0"/>
          <w:marRight w:val="0"/>
          <w:marTop w:val="0"/>
          <w:marBottom w:val="0"/>
          <w:divBdr>
            <w:top w:val="none" w:sz="0" w:space="0" w:color="auto"/>
            <w:left w:val="none" w:sz="0" w:space="0" w:color="auto"/>
            <w:bottom w:val="none" w:sz="0" w:space="0" w:color="auto"/>
            <w:right w:val="none" w:sz="0" w:space="0" w:color="auto"/>
          </w:divBdr>
        </w:div>
        <w:div w:id="1483693341">
          <w:marLeft w:val="0"/>
          <w:marRight w:val="0"/>
          <w:marTop w:val="0"/>
          <w:marBottom w:val="0"/>
          <w:divBdr>
            <w:top w:val="none" w:sz="0" w:space="0" w:color="auto"/>
            <w:left w:val="none" w:sz="0" w:space="0" w:color="auto"/>
            <w:bottom w:val="none" w:sz="0" w:space="0" w:color="auto"/>
            <w:right w:val="none" w:sz="0" w:space="0" w:color="auto"/>
          </w:divBdr>
        </w:div>
        <w:div w:id="1479178504">
          <w:marLeft w:val="0"/>
          <w:marRight w:val="0"/>
          <w:marTop w:val="0"/>
          <w:marBottom w:val="0"/>
          <w:divBdr>
            <w:top w:val="none" w:sz="0" w:space="0" w:color="auto"/>
            <w:left w:val="none" w:sz="0" w:space="0" w:color="auto"/>
            <w:bottom w:val="none" w:sz="0" w:space="0" w:color="auto"/>
            <w:right w:val="none" w:sz="0" w:space="0" w:color="auto"/>
          </w:divBdr>
        </w:div>
        <w:div w:id="1691951389">
          <w:marLeft w:val="0"/>
          <w:marRight w:val="0"/>
          <w:marTop w:val="0"/>
          <w:marBottom w:val="0"/>
          <w:divBdr>
            <w:top w:val="none" w:sz="0" w:space="0" w:color="auto"/>
            <w:left w:val="none" w:sz="0" w:space="0" w:color="auto"/>
            <w:bottom w:val="none" w:sz="0" w:space="0" w:color="auto"/>
            <w:right w:val="none" w:sz="0" w:space="0" w:color="auto"/>
          </w:divBdr>
        </w:div>
        <w:div w:id="1626812247">
          <w:marLeft w:val="0"/>
          <w:marRight w:val="0"/>
          <w:marTop w:val="0"/>
          <w:marBottom w:val="0"/>
          <w:divBdr>
            <w:top w:val="none" w:sz="0" w:space="0" w:color="auto"/>
            <w:left w:val="none" w:sz="0" w:space="0" w:color="auto"/>
            <w:bottom w:val="none" w:sz="0" w:space="0" w:color="auto"/>
            <w:right w:val="none" w:sz="0" w:space="0" w:color="auto"/>
          </w:divBdr>
        </w:div>
        <w:div w:id="649596958">
          <w:marLeft w:val="0"/>
          <w:marRight w:val="0"/>
          <w:marTop w:val="0"/>
          <w:marBottom w:val="0"/>
          <w:divBdr>
            <w:top w:val="none" w:sz="0" w:space="0" w:color="auto"/>
            <w:left w:val="none" w:sz="0" w:space="0" w:color="auto"/>
            <w:bottom w:val="none" w:sz="0" w:space="0" w:color="auto"/>
            <w:right w:val="none" w:sz="0" w:space="0" w:color="auto"/>
          </w:divBdr>
        </w:div>
        <w:div w:id="1290820582">
          <w:marLeft w:val="720"/>
          <w:marRight w:val="0"/>
          <w:marTop w:val="0"/>
          <w:marBottom w:val="0"/>
          <w:divBdr>
            <w:top w:val="none" w:sz="0" w:space="0" w:color="auto"/>
            <w:left w:val="none" w:sz="0" w:space="0" w:color="auto"/>
            <w:bottom w:val="none" w:sz="0" w:space="0" w:color="auto"/>
            <w:right w:val="none" w:sz="0" w:space="0" w:color="auto"/>
          </w:divBdr>
        </w:div>
        <w:div w:id="499933519">
          <w:marLeft w:val="720"/>
          <w:marRight w:val="0"/>
          <w:marTop w:val="0"/>
          <w:marBottom w:val="0"/>
          <w:divBdr>
            <w:top w:val="none" w:sz="0" w:space="0" w:color="auto"/>
            <w:left w:val="none" w:sz="0" w:space="0" w:color="auto"/>
            <w:bottom w:val="none" w:sz="0" w:space="0" w:color="auto"/>
            <w:right w:val="none" w:sz="0" w:space="0" w:color="auto"/>
          </w:divBdr>
        </w:div>
        <w:div w:id="1197430958">
          <w:marLeft w:val="720"/>
          <w:marRight w:val="0"/>
          <w:marTop w:val="0"/>
          <w:marBottom w:val="0"/>
          <w:divBdr>
            <w:top w:val="none" w:sz="0" w:space="0" w:color="auto"/>
            <w:left w:val="none" w:sz="0" w:space="0" w:color="auto"/>
            <w:bottom w:val="none" w:sz="0" w:space="0" w:color="auto"/>
            <w:right w:val="none" w:sz="0" w:space="0" w:color="auto"/>
          </w:divBdr>
        </w:div>
        <w:div w:id="709258598">
          <w:marLeft w:val="360"/>
          <w:marRight w:val="0"/>
          <w:marTop w:val="0"/>
          <w:marBottom w:val="0"/>
          <w:divBdr>
            <w:top w:val="none" w:sz="0" w:space="0" w:color="auto"/>
            <w:left w:val="none" w:sz="0" w:space="0" w:color="auto"/>
            <w:bottom w:val="none" w:sz="0" w:space="0" w:color="auto"/>
            <w:right w:val="none" w:sz="0" w:space="0" w:color="auto"/>
          </w:divBdr>
        </w:div>
        <w:div w:id="459499154">
          <w:marLeft w:val="360"/>
          <w:marRight w:val="0"/>
          <w:marTop w:val="0"/>
          <w:marBottom w:val="0"/>
          <w:divBdr>
            <w:top w:val="none" w:sz="0" w:space="0" w:color="auto"/>
            <w:left w:val="none" w:sz="0" w:space="0" w:color="auto"/>
            <w:bottom w:val="none" w:sz="0" w:space="0" w:color="auto"/>
            <w:right w:val="none" w:sz="0" w:space="0" w:color="auto"/>
          </w:divBdr>
        </w:div>
        <w:div w:id="386495492">
          <w:marLeft w:val="720"/>
          <w:marRight w:val="0"/>
          <w:marTop w:val="0"/>
          <w:marBottom w:val="0"/>
          <w:divBdr>
            <w:top w:val="none" w:sz="0" w:space="0" w:color="auto"/>
            <w:left w:val="none" w:sz="0" w:space="0" w:color="auto"/>
            <w:bottom w:val="none" w:sz="0" w:space="0" w:color="auto"/>
            <w:right w:val="none" w:sz="0" w:space="0" w:color="auto"/>
          </w:divBdr>
        </w:div>
        <w:div w:id="1573857165">
          <w:marLeft w:val="720"/>
          <w:marRight w:val="0"/>
          <w:marTop w:val="0"/>
          <w:marBottom w:val="0"/>
          <w:divBdr>
            <w:top w:val="none" w:sz="0" w:space="0" w:color="auto"/>
            <w:left w:val="none" w:sz="0" w:space="0" w:color="auto"/>
            <w:bottom w:val="none" w:sz="0" w:space="0" w:color="auto"/>
            <w:right w:val="none" w:sz="0" w:space="0" w:color="auto"/>
          </w:divBdr>
        </w:div>
        <w:div w:id="1593123271">
          <w:marLeft w:val="720"/>
          <w:marRight w:val="0"/>
          <w:marTop w:val="0"/>
          <w:marBottom w:val="0"/>
          <w:divBdr>
            <w:top w:val="none" w:sz="0" w:space="0" w:color="auto"/>
            <w:left w:val="none" w:sz="0" w:space="0" w:color="auto"/>
            <w:bottom w:val="none" w:sz="0" w:space="0" w:color="auto"/>
            <w:right w:val="none" w:sz="0" w:space="0" w:color="auto"/>
          </w:divBdr>
        </w:div>
        <w:div w:id="1787189259">
          <w:marLeft w:val="720"/>
          <w:marRight w:val="0"/>
          <w:marTop w:val="0"/>
          <w:marBottom w:val="0"/>
          <w:divBdr>
            <w:top w:val="none" w:sz="0" w:space="0" w:color="auto"/>
            <w:left w:val="none" w:sz="0" w:space="0" w:color="auto"/>
            <w:bottom w:val="none" w:sz="0" w:space="0" w:color="auto"/>
            <w:right w:val="none" w:sz="0" w:space="0" w:color="auto"/>
          </w:divBdr>
        </w:div>
        <w:div w:id="872380040">
          <w:marLeft w:val="720"/>
          <w:marRight w:val="0"/>
          <w:marTop w:val="0"/>
          <w:marBottom w:val="0"/>
          <w:divBdr>
            <w:top w:val="none" w:sz="0" w:space="0" w:color="auto"/>
            <w:left w:val="none" w:sz="0" w:space="0" w:color="auto"/>
            <w:bottom w:val="none" w:sz="0" w:space="0" w:color="auto"/>
            <w:right w:val="none" w:sz="0" w:space="0" w:color="auto"/>
          </w:divBdr>
        </w:div>
        <w:div w:id="1586527886">
          <w:marLeft w:val="720"/>
          <w:marRight w:val="0"/>
          <w:marTop w:val="0"/>
          <w:marBottom w:val="0"/>
          <w:divBdr>
            <w:top w:val="none" w:sz="0" w:space="0" w:color="auto"/>
            <w:left w:val="none" w:sz="0" w:space="0" w:color="auto"/>
            <w:bottom w:val="none" w:sz="0" w:space="0" w:color="auto"/>
            <w:right w:val="none" w:sz="0" w:space="0" w:color="auto"/>
          </w:divBdr>
        </w:div>
        <w:div w:id="1076588667">
          <w:marLeft w:val="720"/>
          <w:marRight w:val="0"/>
          <w:marTop w:val="0"/>
          <w:marBottom w:val="0"/>
          <w:divBdr>
            <w:top w:val="none" w:sz="0" w:space="0" w:color="auto"/>
            <w:left w:val="none" w:sz="0" w:space="0" w:color="auto"/>
            <w:bottom w:val="none" w:sz="0" w:space="0" w:color="auto"/>
            <w:right w:val="none" w:sz="0" w:space="0" w:color="auto"/>
          </w:divBdr>
        </w:div>
        <w:div w:id="11176074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2014-05-08T14:11:00Z</dcterms:created>
  <dcterms:modified xsi:type="dcterms:W3CDTF">2014-05-08T14:12:00Z</dcterms:modified>
</cp:coreProperties>
</file>